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media/image2.jpeg" ContentType="image/jpeg"/>
  <Override PartName="/word/media/image3.jpeg" ContentType="image/jpeg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numPr>
          <w:ilvl w:val="0"/>
          <w:numId w:val="0"/>
        </w:numPr>
        <w:ind w:left="0" w:hanging="0"/>
        <w:jc w:val="center"/>
        <w:outlineLvl w:val="0"/>
        <w:rPr>
          <w:rFonts w:ascii="Times New Roman" w:hAnsi="Times New Roman"/>
          <w:b/>
          <w:b/>
          <w:bCs/>
          <w:sz w:val="28"/>
          <w:szCs w:val="28"/>
        </w:rPr>
      </w:pPr>
      <w:r>
        <w:rPr/>
        <w:drawing>
          <wp:inline distT="0" distB="0" distL="0" distR="0">
            <wp:extent cx="860425" cy="741045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0425" cy="7410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b/>
          <w:bCs/>
          <w:sz w:val="28"/>
          <w:szCs w:val="28"/>
        </w:rPr>
        <w:t xml:space="preserve">ПРОЕКТ </w:t>
      </w:r>
    </w:p>
    <w:p>
      <w:pPr>
        <w:pStyle w:val="Normal"/>
        <w:numPr>
          <w:ilvl w:val="0"/>
          <w:numId w:val="0"/>
        </w:numPr>
        <w:ind w:left="0" w:hanging="0"/>
        <w:jc w:val="center"/>
        <w:outlineLvl w:val="0"/>
        <w:rPr>
          <w:rFonts w:ascii="Times New Roman" w:hAnsi="Times New Roman"/>
          <w:bCs/>
          <w:sz w:val="20"/>
          <w:szCs w:val="20"/>
        </w:rPr>
      </w:pPr>
      <w:r>
        <w:rPr>
          <w:rFonts w:ascii="Times New Roman" w:hAnsi="Times New Roman"/>
          <w:bCs/>
          <w:sz w:val="20"/>
          <w:szCs w:val="20"/>
        </w:rPr>
        <w:t>Российская Федерация</w:t>
      </w:r>
    </w:p>
    <w:p>
      <w:pPr>
        <w:pStyle w:val="Normal"/>
        <w:numPr>
          <w:ilvl w:val="0"/>
          <w:numId w:val="0"/>
        </w:numPr>
        <w:ind w:left="0" w:hanging="0"/>
        <w:jc w:val="center"/>
        <w:outlineLvl w:val="0"/>
        <w:rPr>
          <w:rFonts w:ascii="Times New Roman" w:hAnsi="Times New Roman"/>
          <w:bCs/>
          <w:sz w:val="20"/>
          <w:szCs w:val="20"/>
        </w:rPr>
      </w:pPr>
      <w:r>
        <w:rPr>
          <w:rFonts w:ascii="Times New Roman" w:hAnsi="Times New Roman"/>
          <w:bCs/>
          <w:sz w:val="20"/>
          <w:szCs w:val="20"/>
        </w:rPr>
        <w:t xml:space="preserve">Самарская область </w:t>
      </w:r>
    </w:p>
    <w:p>
      <w:pPr>
        <w:pStyle w:val="Normal"/>
        <w:numPr>
          <w:ilvl w:val="0"/>
          <w:numId w:val="0"/>
        </w:numPr>
        <w:ind w:left="0" w:hanging="0"/>
        <w:jc w:val="center"/>
        <w:outlineLvl w:val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Web"/>
        <w:spacing w:beforeAutospacing="0" w:before="0" w:after="0"/>
        <w:jc w:val="center"/>
        <w:rPr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СОБРАНИЕ ПРЕДСТАВИТЕЛЕЙ </w:t>
      </w:r>
    </w:p>
    <w:p>
      <w:pPr>
        <w:pStyle w:val="NormalWeb"/>
        <w:spacing w:beforeAutospacing="0" w:before="0" w:after="0"/>
        <w:jc w:val="center"/>
        <w:rPr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СЕЛЬСКОГО ПОСЕЛЕНИЯ  ВЫСЕЛКИ </w:t>
      </w:r>
    </w:p>
    <w:p>
      <w:pPr>
        <w:pStyle w:val="NormalWeb"/>
        <w:spacing w:beforeAutospacing="0" w:before="0" w:after="0"/>
        <w:jc w:val="center"/>
        <w:rPr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МУНИЦИПАЛЬНОГО РАЙОНА СТАВРОПОЛЬСКИЙ</w:t>
      </w:r>
    </w:p>
    <w:p>
      <w:pPr>
        <w:pStyle w:val="NormalWeb"/>
        <w:widowControl/>
        <w:numPr>
          <w:ilvl w:val="0"/>
          <w:numId w:val="0"/>
        </w:numPr>
        <w:spacing w:lineRule="auto" w:line="276" w:beforeAutospacing="0" w:before="0" w:after="0"/>
        <w:ind w:left="0" w:hanging="0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/>
          <w:b/>
          <w:bCs/>
          <w:color w:val="000000"/>
          <w:sz w:val="24"/>
          <w:szCs w:val="24"/>
        </w:rPr>
        <w:t>САМАРСКОЙ ОБЛАСТИ</w:t>
      </w:r>
    </w:p>
    <w:p>
      <w:pPr>
        <w:pStyle w:val="Normal"/>
        <w:numPr>
          <w:ilvl w:val="0"/>
          <w:numId w:val="0"/>
        </w:numPr>
        <w:ind w:left="0" w:hanging="0"/>
        <w:jc w:val="center"/>
        <w:outlineLvl w:val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0"/>
        </w:numPr>
        <w:ind w:left="0" w:hanging="0"/>
        <w:jc w:val="center"/>
        <w:outlineLvl w:val="0"/>
        <w:rPr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РЕШЕНИЕ </w:t>
      </w:r>
    </w:p>
    <w:p>
      <w:pPr>
        <w:pStyle w:val="Normal"/>
        <w:jc w:val="center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 xml:space="preserve">от                 </w:t>
      </w:r>
      <w:r>
        <w:rPr>
          <w:rFonts w:ascii="Times New Roman" w:hAnsi="Times New Roman"/>
          <w:b/>
          <w:sz w:val="26"/>
          <w:szCs w:val="26"/>
        </w:rPr>
        <w:t>2020</w:t>
      </w:r>
      <w:r>
        <w:rPr>
          <w:rFonts w:ascii="Times New Roman" w:hAnsi="Times New Roman"/>
          <w:b/>
          <w:sz w:val="26"/>
          <w:szCs w:val="26"/>
        </w:rPr>
        <w:t xml:space="preserve"> года                                                                                        № </w:t>
      </w:r>
    </w:p>
    <w:p>
      <w:pPr>
        <w:pStyle w:val="Normal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clear" w:pos="708"/>
          <w:tab w:val="left" w:pos="142" w:leader="none"/>
        </w:tabs>
        <w:jc w:val="center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 xml:space="preserve">О внесении изменений в Правила землепользования и застройки </w:t>
        <w:br/>
        <w:t xml:space="preserve">сельского поселения Выселки муниципального района Ставропольский </w:t>
        <w:br/>
        <w:t>Самарской области</w:t>
      </w:r>
    </w:p>
    <w:p>
      <w:pPr>
        <w:pStyle w:val="Normal"/>
        <w:jc w:val="center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08"/>
          <w:tab w:val="left" w:pos="142" w:leader="none"/>
        </w:tabs>
        <w:spacing w:lineRule="auto" w:line="360"/>
        <w:ind w:firstLine="851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В соответствии со статьями 33 Градостроительного кодекса Российской Федерации, пунктом 20 части 1 статьи 14 Федерального закона от 6 октября 2003 года № 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изменений в Правила землепользования и застройки сельского поселения Выселки муниципального района Ставропольский Самарской области от11.01.2021года, Собрание представителей сельского поселения Выселки муниципального района Ставропольский Самарской области решило:</w:t>
      </w:r>
    </w:p>
    <w:p>
      <w:pPr>
        <w:pStyle w:val="Normal"/>
        <w:spacing w:lineRule="auto" w:line="360"/>
        <w:ind w:firstLine="851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1. Внести следующие изменения в Правила землепользования и застройки сельского </w:t>
      </w:r>
      <w:r>
        <w:rPr>
          <w:rFonts w:ascii="Times New Roman" w:hAnsi="Times New Roman"/>
          <w:bCs/>
          <w:sz w:val="26"/>
          <w:szCs w:val="26"/>
        </w:rPr>
        <w:t>поселения Выселки</w:t>
      </w:r>
      <w:r>
        <w:rPr>
          <w:rFonts w:ascii="Times New Roman" w:hAnsi="Times New Roman"/>
          <w:sz w:val="26"/>
          <w:szCs w:val="26"/>
        </w:rPr>
        <w:t xml:space="preserve"> муниципального района Ставропольский Самарской области, утвержденные Собранием представителей сельского </w:t>
      </w:r>
      <w:r>
        <w:rPr>
          <w:rFonts w:ascii="Times New Roman" w:hAnsi="Times New Roman"/>
          <w:bCs/>
          <w:sz w:val="26"/>
          <w:szCs w:val="26"/>
        </w:rPr>
        <w:t xml:space="preserve">поселения </w:t>
        <w:br/>
        <w:t>Выселки</w:t>
      </w:r>
      <w:r>
        <w:rPr>
          <w:rFonts w:ascii="Times New Roman" w:hAnsi="Times New Roman"/>
          <w:sz w:val="26"/>
          <w:szCs w:val="26"/>
        </w:rPr>
        <w:t xml:space="preserve"> муниципального района Ставропольский Самарской области</w:t>
      </w:r>
      <w:r>
        <w:rPr>
          <w:rFonts w:ascii="Times New Roman" w:hAnsi="Times New Roman"/>
          <w:bCs/>
          <w:sz w:val="26"/>
          <w:szCs w:val="26"/>
        </w:rPr>
        <w:t xml:space="preserve"> от 30.12.2013 №36</w:t>
      </w:r>
      <w:r>
        <w:rPr>
          <w:rFonts w:ascii="Times New Roman" w:hAnsi="Times New Roman"/>
          <w:sz w:val="26"/>
          <w:szCs w:val="26"/>
        </w:rPr>
        <w:t xml:space="preserve"> </w:t>
      </w:r>
      <w:r>
        <w:rPr>
          <w:rFonts w:ascii="Times New Roman" w:hAnsi="Times New Roman"/>
          <w:bCs/>
          <w:sz w:val="26"/>
          <w:szCs w:val="26"/>
        </w:rPr>
        <w:t>(далее по тексту – Правила):</w:t>
      </w:r>
    </w:p>
    <w:p>
      <w:pPr>
        <w:pStyle w:val="Normal"/>
        <w:spacing w:lineRule="auto" w:line="360"/>
        <w:ind w:firstLine="851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1) в статье 20 Правил:</w:t>
      </w:r>
    </w:p>
    <w:p>
      <w:pPr>
        <w:pStyle w:val="Normal"/>
        <w:spacing w:lineRule="auto" w:line="360"/>
        <w:ind w:firstLine="851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слова «в масштабах 1:25 000 и 1:5 000» заменить словами «в масштабах 1:25 000 и 1:10 000»;</w:t>
      </w:r>
    </w:p>
    <w:p>
      <w:pPr>
        <w:pStyle w:val="Normal"/>
        <w:spacing w:lineRule="auto" w:line="360"/>
        <w:ind w:firstLine="851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2) статью 21 Правил изложить в следующей редакции:</w:t>
      </w:r>
    </w:p>
    <w:p>
      <w:pPr>
        <w:pStyle w:val="Normal"/>
        <w:numPr>
          <w:ilvl w:val="0"/>
          <w:numId w:val="0"/>
        </w:numPr>
        <w:spacing w:before="240" w:after="240"/>
        <w:ind w:left="0" w:firstLine="851"/>
        <w:contextualSpacing/>
        <w:jc w:val="both"/>
        <w:outlineLvl w:val="2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«</w:t>
      </w:r>
      <w:r>
        <w:rPr>
          <w:rFonts w:ascii="Times New Roman" w:hAnsi="Times New Roman"/>
          <w:b/>
          <w:sz w:val="26"/>
          <w:szCs w:val="26"/>
        </w:rPr>
        <w:t>Статья 21. Перечень территориальных зон</w:t>
      </w:r>
    </w:p>
    <w:p>
      <w:pPr>
        <w:pStyle w:val="Normal"/>
        <w:tabs>
          <w:tab w:val="clear" w:pos="708"/>
          <w:tab w:val="left" w:pos="0" w:leader="none"/>
        </w:tabs>
        <w:spacing w:lineRule="auto" w:line="360" w:before="0" w:after="200"/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На карте градостроительного зонирования поселения выделены следующие территориальные зоны и подзоны:</w:t>
      </w:r>
    </w:p>
    <w:tbl>
      <w:tblPr>
        <w:tblW w:w="9565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384"/>
        <w:gridCol w:w="8180"/>
      </w:tblGrid>
      <w:tr>
        <w:trPr/>
        <w:tc>
          <w:tcPr>
            <w:tcW w:w="1384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0" w:leader="none"/>
              </w:tabs>
              <w:spacing w:before="0" w:after="16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</w:r>
          </w:p>
        </w:tc>
        <w:tc>
          <w:tcPr>
            <w:tcW w:w="8180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0" w:leader="none"/>
              </w:tabs>
              <w:spacing w:before="0" w:after="200"/>
              <w:ind w:firstLine="601"/>
              <w:rPr>
                <w:rFonts w:ascii="Times New Roman" w:hAnsi="Times New Roman"/>
                <w:b/>
                <w:b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sz w:val="26"/>
                <w:szCs w:val="26"/>
              </w:rPr>
              <w:t>1) Жилые зоны:</w:t>
            </w:r>
          </w:p>
        </w:tc>
      </w:tr>
      <w:tr>
        <w:trPr/>
        <w:tc>
          <w:tcPr>
            <w:tcW w:w="1384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0" w:leader="none"/>
              </w:tabs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Ж1</w:t>
            </w:r>
          </w:p>
        </w:tc>
        <w:tc>
          <w:tcPr>
            <w:tcW w:w="8180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0" w:leader="none"/>
              </w:tabs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Зона застройки индивидуальными жилыми домами;</w:t>
            </w:r>
          </w:p>
        </w:tc>
      </w:tr>
      <w:tr>
        <w:trPr/>
        <w:tc>
          <w:tcPr>
            <w:tcW w:w="1384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0" w:leader="none"/>
              </w:tabs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Ж2</w:t>
            </w:r>
          </w:p>
        </w:tc>
        <w:tc>
          <w:tcPr>
            <w:tcW w:w="8180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0" w:leader="none"/>
              </w:tabs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Зона застройки малоэтажными жилыми домами;</w:t>
            </w:r>
          </w:p>
        </w:tc>
      </w:tr>
      <w:tr>
        <w:trPr/>
        <w:tc>
          <w:tcPr>
            <w:tcW w:w="1384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0" w:leader="none"/>
              </w:tabs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Ж8</w:t>
            </w:r>
          </w:p>
        </w:tc>
        <w:tc>
          <w:tcPr>
            <w:tcW w:w="8180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0" w:leader="none"/>
              </w:tabs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Зона комплексной застройки;</w:t>
            </w:r>
          </w:p>
        </w:tc>
      </w:tr>
      <w:tr>
        <w:trPr/>
        <w:tc>
          <w:tcPr>
            <w:tcW w:w="1384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0" w:leader="none"/>
              </w:tabs>
              <w:spacing w:before="0" w:after="16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</w:r>
          </w:p>
        </w:tc>
        <w:tc>
          <w:tcPr>
            <w:tcW w:w="8180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0" w:leader="none"/>
              </w:tabs>
              <w:spacing w:before="0" w:after="200"/>
              <w:ind w:firstLine="601"/>
              <w:rPr>
                <w:rFonts w:ascii="Times New Roman" w:hAnsi="Times New Roman"/>
                <w:b/>
                <w:b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sz w:val="26"/>
                <w:szCs w:val="26"/>
              </w:rPr>
              <w:t>2) Общественно-деловая зона</w:t>
            </w:r>
          </w:p>
        </w:tc>
      </w:tr>
      <w:tr>
        <w:trPr/>
        <w:tc>
          <w:tcPr>
            <w:tcW w:w="1384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0" w:leader="none"/>
              </w:tabs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О1</w:t>
            </w:r>
          </w:p>
        </w:tc>
        <w:tc>
          <w:tcPr>
            <w:tcW w:w="8180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0" w:leader="none"/>
              </w:tabs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Зона размещения объектов делового, общественного,  коммерческого, социального и коммунально-бытового назначения;</w:t>
            </w:r>
          </w:p>
        </w:tc>
      </w:tr>
      <w:tr>
        <w:trPr/>
        <w:tc>
          <w:tcPr>
            <w:tcW w:w="1384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0" w:leader="none"/>
              </w:tabs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О2</w:t>
            </w:r>
          </w:p>
        </w:tc>
        <w:tc>
          <w:tcPr>
            <w:tcW w:w="8180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0" w:leader="none"/>
              </w:tabs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Зона специализированной общественной застройки</w:t>
            </w:r>
          </w:p>
        </w:tc>
      </w:tr>
      <w:tr>
        <w:trPr/>
        <w:tc>
          <w:tcPr>
            <w:tcW w:w="1384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0" w:leader="none"/>
              </w:tabs>
              <w:spacing w:before="0" w:after="16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</w:r>
          </w:p>
        </w:tc>
        <w:tc>
          <w:tcPr>
            <w:tcW w:w="8180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0" w:leader="none"/>
              </w:tabs>
              <w:spacing w:before="0" w:after="200"/>
              <w:ind w:firstLine="601"/>
              <w:rPr>
                <w:rFonts w:ascii="Times New Roman" w:hAnsi="Times New Roman"/>
                <w:b/>
                <w:b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sz w:val="26"/>
                <w:szCs w:val="26"/>
              </w:rPr>
              <w:t>3) Производственные зоны:</w:t>
            </w:r>
          </w:p>
        </w:tc>
      </w:tr>
      <w:tr>
        <w:trPr/>
        <w:tc>
          <w:tcPr>
            <w:tcW w:w="1384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0" w:leader="none"/>
              </w:tabs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П1</w:t>
            </w:r>
          </w:p>
        </w:tc>
        <w:tc>
          <w:tcPr>
            <w:tcW w:w="8180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0" w:leader="none"/>
              </w:tabs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Производственная зона;</w:t>
            </w:r>
          </w:p>
        </w:tc>
      </w:tr>
      <w:tr>
        <w:trPr/>
        <w:tc>
          <w:tcPr>
            <w:tcW w:w="1384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0" w:leader="none"/>
              </w:tabs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П1-4</w:t>
            </w:r>
          </w:p>
        </w:tc>
        <w:tc>
          <w:tcPr>
            <w:tcW w:w="8180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0" w:leader="none"/>
              </w:tabs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Подзона производственных и коммунально-складских объектов № 4;</w:t>
            </w:r>
          </w:p>
        </w:tc>
      </w:tr>
      <w:tr>
        <w:trPr/>
        <w:tc>
          <w:tcPr>
            <w:tcW w:w="1384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0" w:leader="none"/>
              </w:tabs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П1-5</w:t>
            </w:r>
          </w:p>
        </w:tc>
        <w:tc>
          <w:tcPr>
            <w:tcW w:w="8180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0" w:leader="none"/>
              </w:tabs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Подзона производственных и коммунально-складских объектов № 5;</w:t>
            </w:r>
          </w:p>
        </w:tc>
      </w:tr>
      <w:tr>
        <w:trPr/>
        <w:tc>
          <w:tcPr>
            <w:tcW w:w="1384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0" w:leader="none"/>
              </w:tabs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</w:r>
          </w:p>
        </w:tc>
        <w:tc>
          <w:tcPr>
            <w:tcW w:w="8180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0" w:leader="none"/>
              </w:tabs>
              <w:spacing w:before="0" w:after="200"/>
              <w:ind w:firstLine="601"/>
              <w:rPr>
                <w:rFonts w:ascii="Times New Roman" w:hAnsi="Times New Roman"/>
                <w:b/>
                <w:b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sz w:val="26"/>
                <w:szCs w:val="26"/>
              </w:rPr>
              <w:t>4) Зоны инженерной и транспортной инфраструктур:</w:t>
            </w:r>
          </w:p>
        </w:tc>
      </w:tr>
      <w:tr>
        <w:trPr/>
        <w:tc>
          <w:tcPr>
            <w:tcW w:w="1384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0" w:leader="none"/>
              </w:tabs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И</w:t>
            </w:r>
          </w:p>
        </w:tc>
        <w:tc>
          <w:tcPr>
            <w:tcW w:w="8180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0" w:leader="none"/>
              </w:tabs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Зона инженерной инфраструктуры;</w:t>
            </w:r>
          </w:p>
        </w:tc>
      </w:tr>
      <w:tr>
        <w:trPr/>
        <w:tc>
          <w:tcPr>
            <w:tcW w:w="1384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0" w:leader="none"/>
              </w:tabs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ИТ</w:t>
            </w:r>
          </w:p>
        </w:tc>
        <w:tc>
          <w:tcPr>
            <w:tcW w:w="8180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0" w:leader="none"/>
              </w:tabs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Зона инженерной и транспортной инфраструктуры;</w:t>
            </w:r>
          </w:p>
        </w:tc>
      </w:tr>
      <w:tr>
        <w:trPr/>
        <w:tc>
          <w:tcPr>
            <w:tcW w:w="1384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0" w:leader="none"/>
              </w:tabs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</w:r>
          </w:p>
        </w:tc>
        <w:tc>
          <w:tcPr>
            <w:tcW w:w="8180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0" w:leader="none"/>
              </w:tabs>
              <w:spacing w:before="0" w:after="200"/>
              <w:ind w:firstLine="601"/>
              <w:rPr>
                <w:rFonts w:ascii="Times New Roman" w:hAnsi="Times New Roman"/>
                <w:b/>
                <w:b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sz w:val="26"/>
                <w:szCs w:val="26"/>
              </w:rPr>
              <w:t>5) Зоны рекреационного назначения:</w:t>
            </w:r>
          </w:p>
        </w:tc>
      </w:tr>
      <w:tr>
        <w:trPr/>
        <w:tc>
          <w:tcPr>
            <w:tcW w:w="1384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0" w:leader="none"/>
              </w:tabs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Р2</w:t>
            </w:r>
          </w:p>
        </w:tc>
        <w:tc>
          <w:tcPr>
            <w:tcW w:w="8180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0" w:leader="none"/>
              </w:tabs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Зона природного ландшафта</w:t>
            </w:r>
            <w:r>
              <w:rPr>
                <w:rFonts w:ascii="Times New Roman" w:hAnsi="Times New Roman"/>
                <w:sz w:val="26"/>
                <w:szCs w:val="26"/>
              </w:rPr>
              <w:t>;</w:t>
            </w:r>
          </w:p>
        </w:tc>
      </w:tr>
      <w:tr>
        <w:trPr/>
        <w:tc>
          <w:tcPr>
            <w:tcW w:w="1384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0" w:leader="none"/>
              </w:tabs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</w:r>
          </w:p>
        </w:tc>
        <w:tc>
          <w:tcPr>
            <w:tcW w:w="8180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0" w:leader="none"/>
              </w:tabs>
              <w:spacing w:before="0" w:after="200"/>
              <w:ind w:firstLine="601"/>
              <w:rPr>
                <w:rFonts w:ascii="Times New Roman" w:hAnsi="Times New Roman"/>
                <w:b/>
                <w:b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sz w:val="26"/>
                <w:szCs w:val="26"/>
              </w:rPr>
              <w:t>6) Зоны сельскохозяйственного использования:</w:t>
            </w:r>
          </w:p>
        </w:tc>
      </w:tr>
      <w:tr>
        <w:trPr/>
        <w:tc>
          <w:tcPr>
            <w:tcW w:w="1384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0" w:leader="none"/>
              </w:tabs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Сх1</w:t>
            </w:r>
          </w:p>
        </w:tc>
        <w:tc>
          <w:tcPr>
            <w:tcW w:w="8180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0" w:leader="none"/>
              </w:tabs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Зона сельскохозяйственных угодий;</w:t>
            </w:r>
          </w:p>
        </w:tc>
      </w:tr>
      <w:tr>
        <w:trPr/>
        <w:tc>
          <w:tcPr>
            <w:tcW w:w="1384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0" w:leader="none"/>
              </w:tabs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Сх2</w:t>
            </w:r>
          </w:p>
        </w:tc>
        <w:tc>
          <w:tcPr>
            <w:tcW w:w="8180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0" w:leader="none"/>
              </w:tabs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Зона, занятая объектами сельскохозяйственного назначения;</w:t>
            </w:r>
          </w:p>
        </w:tc>
      </w:tr>
      <w:tr>
        <w:trPr/>
        <w:tc>
          <w:tcPr>
            <w:tcW w:w="1384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0" w:leader="none"/>
              </w:tabs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Сх2-4</w:t>
            </w:r>
          </w:p>
        </w:tc>
        <w:tc>
          <w:tcPr>
            <w:tcW w:w="8180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0" w:leader="none"/>
              </w:tabs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Подзона, занятая объектами сельскохозяйственного назначения № 4;</w:t>
            </w:r>
          </w:p>
        </w:tc>
      </w:tr>
      <w:tr>
        <w:trPr/>
        <w:tc>
          <w:tcPr>
            <w:tcW w:w="1384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0" w:leader="none"/>
              </w:tabs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Сх2-5</w:t>
            </w:r>
          </w:p>
        </w:tc>
        <w:tc>
          <w:tcPr>
            <w:tcW w:w="8180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0" w:leader="none"/>
              </w:tabs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Подзона, занятая объектами сельскохозяйственного назначения № 5;</w:t>
            </w:r>
          </w:p>
        </w:tc>
      </w:tr>
      <w:tr>
        <w:trPr/>
        <w:tc>
          <w:tcPr>
            <w:tcW w:w="1384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0" w:leader="none"/>
              </w:tabs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Сх3</w:t>
            </w:r>
          </w:p>
        </w:tc>
        <w:tc>
          <w:tcPr>
            <w:tcW w:w="8180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0" w:leader="none"/>
              </w:tabs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Зона огородничества;</w:t>
            </w:r>
          </w:p>
        </w:tc>
      </w:tr>
      <w:tr>
        <w:trPr/>
        <w:tc>
          <w:tcPr>
            <w:tcW w:w="1384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0" w:leader="none"/>
              </w:tabs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Сх4</w:t>
            </w:r>
          </w:p>
        </w:tc>
        <w:tc>
          <w:tcPr>
            <w:tcW w:w="8180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0" w:leader="none"/>
              </w:tabs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Зона садоводства;</w:t>
            </w:r>
          </w:p>
        </w:tc>
      </w:tr>
      <w:tr>
        <w:trPr/>
        <w:tc>
          <w:tcPr>
            <w:tcW w:w="1384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0" w:leader="none"/>
              </w:tabs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Сх5</w:t>
            </w:r>
          </w:p>
        </w:tc>
        <w:tc>
          <w:tcPr>
            <w:tcW w:w="8180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0" w:leader="none"/>
              </w:tabs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Зона огородничества и садоводства;</w:t>
            </w:r>
          </w:p>
        </w:tc>
      </w:tr>
      <w:tr>
        <w:trPr/>
        <w:tc>
          <w:tcPr>
            <w:tcW w:w="1384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0" w:leader="none"/>
              </w:tabs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</w:r>
          </w:p>
        </w:tc>
        <w:tc>
          <w:tcPr>
            <w:tcW w:w="8180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0" w:leader="none"/>
              </w:tabs>
              <w:spacing w:before="0" w:after="200"/>
              <w:ind w:firstLine="601"/>
              <w:rPr>
                <w:rFonts w:ascii="Times New Roman" w:hAnsi="Times New Roman"/>
                <w:b/>
                <w:b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sz w:val="26"/>
                <w:szCs w:val="26"/>
              </w:rPr>
              <w:t>7) Зоны специального назначения:</w:t>
            </w:r>
          </w:p>
        </w:tc>
      </w:tr>
      <w:tr>
        <w:trPr/>
        <w:tc>
          <w:tcPr>
            <w:tcW w:w="1384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0" w:leader="none"/>
              </w:tabs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Сп1</w:t>
            </w:r>
          </w:p>
        </w:tc>
        <w:tc>
          <w:tcPr>
            <w:tcW w:w="8180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0" w:leader="none"/>
              </w:tabs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Зона специального назначения, связанная с захоронениями. »</w:t>
            </w:r>
          </w:p>
        </w:tc>
      </w:tr>
    </w:tbl>
    <w:p>
      <w:pPr>
        <w:pStyle w:val="Normal"/>
        <w:spacing w:lineRule="auto" w:line="360"/>
        <w:ind w:firstLine="851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3) в статье 22 Правил исключить содержание видов разрешенного использования территориальных зон Ж5 Зона размещения объектов дошкольного и общего образования и Ж6 Зона смешанной застройки;</w:t>
      </w:r>
    </w:p>
    <w:p>
      <w:pPr>
        <w:pStyle w:val="Normal"/>
        <w:spacing w:lineRule="auto" w:line="360"/>
        <w:ind w:firstLine="851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4) статью 23 Правил дополнить видами разрешенного использования территориальной зоны О2 Зона специализированной общественной застройки следующего содержания:</w:t>
      </w:r>
    </w:p>
    <w:p>
      <w:pPr>
        <w:pStyle w:val="Normal"/>
        <w:spacing w:lineRule="auto" w:line="360"/>
        <w:ind w:firstLine="851"/>
        <w:jc w:val="center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О2 Зона специализированной общественной застройки</w:t>
      </w:r>
    </w:p>
    <w:p>
      <w:pPr>
        <w:pStyle w:val="Normal"/>
        <w:spacing w:lineRule="auto" w:line="360"/>
        <w:ind w:firstLine="851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Зона специализированной общественной застройки О2 установлена для обеспечения условий формирования территорий с широким спектром социальных и коммунально-бытовых функций.</w:t>
      </w:r>
    </w:p>
    <w:tbl>
      <w:tblPr>
        <w:tblW w:w="9754" w:type="dxa"/>
        <w:jc w:val="left"/>
        <w:tblInd w:w="25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688"/>
        <w:gridCol w:w="5359"/>
        <w:gridCol w:w="1707"/>
      </w:tblGrid>
      <w:tr>
        <w:trPr/>
        <w:tc>
          <w:tcPr>
            <w:tcW w:w="97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  <w:b/>
                <w:b/>
              </w:rPr>
            </w:pPr>
            <w:r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>
        <w:trPr/>
        <w:tc>
          <w:tcPr>
            <w:tcW w:w="2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Код (числовое обозначение)</w:t>
            </w:r>
          </w:p>
        </w:tc>
      </w:tr>
      <w:tr>
        <w:trPr/>
        <w:tc>
          <w:tcPr>
            <w:tcW w:w="2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3.1.1</w:t>
            </w:r>
          </w:p>
        </w:tc>
      </w:tr>
      <w:tr>
        <w:trPr/>
        <w:tc>
          <w:tcPr>
            <w:tcW w:w="2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просвещению), 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3.5.1</w:t>
            </w:r>
          </w:p>
        </w:tc>
      </w:tr>
      <w:tr>
        <w:trPr/>
        <w:tc>
          <w:tcPr>
            <w:tcW w:w="2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5.1.2</w:t>
            </w:r>
          </w:p>
        </w:tc>
      </w:tr>
      <w:tr>
        <w:trPr/>
        <w:tc>
          <w:tcPr>
            <w:tcW w:w="2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>
            <w:pPr>
              <w:pStyle w:val="Normal"/>
              <w:widowControl w:val="false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12.0.1</w:t>
            </w:r>
          </w:p>
        </w:tc>
      </w:tr>
      <w:tr>
        <w:trPr/>
        <w:tc>
          <w:tcPr>
            <w:tcW w:w="2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12.0.2</w:t>
            </w:r>
          </w:p>
        </w:tc>
      </w:tr>
    </w:tbl>
    <w:p>
      <w:pPr>
        <w:pStyle w:val="Normal"/>
        <w:rPr>
          <w:rFonts w:ascii="Times New Roman" w:hAnsi="Times New Roman"/>
        </w:rPr>
      </w:pPr>
      <w:r>
        <w:rPr>
          <w:rFonts w:ascii="Times New Roman" w:hAnsi="Times New Roman"/>
        </w:rPr>
      </w:r>
    </w:p>
    <w:tbl>
      <w:tblPr>
        <w:tblW w:w="9742" w:type="dxa"/>
        <w:jc w:val="left"/>
        <w:tblInd w:w="25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686"/>
        <w:gridCol w:w="5359"/>
        <w:gridCol w:w="1697"/>
      </w:tblGrid>
      <w:tr>
        <w:trPr/>
        <w:tc>
          <w:tcPr>
            <w:tcW w:w="97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  <w:b/>
                <w:b/>
              </w:rPr>
            </w:pPr>
            <w:r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>
        <w:trPr/>
        <w:tc>
          <w:tcPr>
            <w:tcW w:w="2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Код (числовое обозначение)</w:t>
            </w:r>
          </w:p>
        </w:tc>
      </w:tr>
      <w:tr>
        <w:trPr/>
        <w:tc>
          <w:tcPr>
            <w:tcW w:w="2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3.1.1</w:t>
            </w:r>
          </w:p>
        </w:tc>
      </w:tr>
      <w:tr>
        <w:trPr/>
        <w:tc>
          <w:tcPr>
            <w:tcW w:w="2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4.9</w:t>
            </w:r>
          </w:p>
        </w:tc>
      </w:tr>
      <w:tr>
        <w:trPr/>
        <w:tc>
          <w:tcPr>
            <w:tcW w:w="2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5.1.3</w:t>
            </w:r>
          </w:p>
        </w:tc>
      </w:tr>
      <w:tr>
        <w:trPr/>
        <w:tc>
          <w:tcPr>
            <w:tcW w:w="2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дел, Росгвардии и спасательных служб, в которых существует военизированная служба; 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8.3</w:t>
            </w:r>
          </w:p>
        </w:tc>
      </w:tr>
      <w:tr>
        <w:trPr/>
        <w:tc>
          <w:tcPr>
            <w:tcW w:w="2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12.0.2</w:t>
            </w:r>
          </w:p>
        </w:tc>
      </w:tr>
    </w:tbl>
    <w:p>
      <w:pPr>
        <w:pStyle w:val="Normal"/>
        <w:rPr>
          <w:rFonts w:ascii="Times New Roman" w:hAnsi="Times New Roman"/>
        </w:rPr>
      </w:pPr>
      <w:r>
        <w:rPr>
          <w:rFonts w:ascii="Times New Roman" w:hAnsi="Times New Roman"/>
        </w:rPr>
      </w:r>
    </w:p>
    <w:tbl>
      <w:tblPr>
        <w:tblW w:w="9742" w:type="dxa"/>
        <w:jc w:val="left"/>
        <w:tblInd w:w="25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686"/>
        <w:gridCol w:w="5359"/>
        <w:gridCol w:w="1697"/>
      </w:tblGrid>
      <w:tr>
        <w:trPr/>
        <w:tc>
          <w:tcPr>
            <w:tcW w:w="97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  <w:b/>
                <w:b/>
              </w:rPr>
            </w:pPr>
            <w:r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>
        <w:trPr/>
        <w:tc>
          <w:tcPr>
            <w:tcW w:w="2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Код (числовое обозначение)</w:t>
            </w:r>
          </w:p>
        </w:tc>
      </w:tr>
      <w:tr>
        <w:trPr/>
        <w:tc>
          <w:tcPr>
            <w:tcW w:w="2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3.1.1</w:t>
            </w:r>
          </w:p>
        </w:tc>
      </w:tr>
      <w:tr>
        <w:trPr/>
        <w:tc>
          <w:tcPr>
            <w:tcW w:w="2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3.6.1</w:t>
            </w:r>
          </w:p>
        </w:tc>
      </w:tr>
      <w:tr>
        <w:trPr/>
        <w:tc>
          <w:tcPr>
            <w:tcW w:w="2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5.1.2</w:t>
            </w:r>
            <w:r>
              <w:rPr>
                <w:rFonts w:ascii="Times New Roman" w:hAnsi="Times New Roman"/>
                <w:sz w:val="26"/>
                <w:szCs w:val="26"/>
              </w:rPr>
              <w:t>»</w:t>
            </w:r>
          </w:p>
        </w:tc>
      </w:tr>
    </w:tbl>
    <w:p>
      <w:pPr>
        <w:pStyle w:val="Normal"/>
        <w:spacing w:lineRule="auto" w:line="360"/>
        <w:ind w:firstLine="851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spacing w:lineRule="auto" w:line="360"/>
        <w:ind w:firstLine="851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5) в статье 26 Правил исключить содержание видов разрешенного использования территориальных зон Р1 </w:t>
      </w:r>
      <w:r>
        <w:rPr>
          <w:rFonts w:ascii="Times New Roman" w:hAnsi="Times New Roman"/>
          <w:sz w:val="28"/>
          <w:szCs w:val="28"/>
        </w:rPr>
        <w:t>Зона скверов, парков, бульваров</w:t>
      </w:r>
      <w:r>
        <w:rPr>
          <w:rFonts w:ascii="Times New Roman" w:hAnsi="Times New Roman"/>
          <w:sz w:val="26"/>
          <w:szCs w:val="26"/>
        </w:rPr>
        <w:t xml:space="preserve"> и Р3 Зона отдыха, занятий физической культурой и спортом;</w:t>
      </w:r>
    </w:p>
    <w:p>
      <w:pPr>
        <w:pStyle w:val="Normal"/>
        <w:spacing w:lineRule="auto" w:line="360"/>
        <w:ind w:firstLine="851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sz w:val="26"/>
          <w:szCs w:val="26"/>
        </w:rPr>
        <w:t>6) статью 29 Правил изложить в следующей редакции:</w:t>
      </w:r>
    </w:p>
    <w:p>
      <w:pPr>
        <w:pStyle w:val="Normal"/>
        <w:numPr>
          <w:ilvl w:val="0"/>
          <w:numId w:val="0"/>
        </w:numPr>
        <w:spacing w:before="240" w:after="240"/>
        <w:ind w:left="0" w:firstLine="851"/>
        <w:jc w:val="both"/>
        <w:outlineLvl w:val="2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«</w:t>
      </w:r>
      <w:r>
        <w:rPr>
          <w:rFonts w:ascii="Times New Roman" w:hAnsi="Times New Roman"/>
          <w:b/>
          <w:sz w:val="26"/>
          <w:szCs w:val="26"/>
        </w:rPr>
        <w:t xml:space="preserve">Статья 29. Предельные размеры земельных участков и предельные параметры разрешенного строительства, реконструкции объектов капитального строительства в жилых зонах и общественно-деловых зонах </w:t>
      </w:r>
    </w:p>
    <w:tbl>
      <w:tblPr>
        <w:tblW w:w="9923" w:type="dxa"/>
        <w:jc w:val="left"/>
        <w:tblInd w:w="85" w:type="dxa"/>
        <w:tblLayout w:type="fixed"/>
        <w:tblCellMar>
          <w:top w:w="0" w:type="dxa"/>
          <w:left w:w="85" w:type="dxa"/>
          <w:bottom w:w="0" w:type="dxa"/>
          <w:right w:w="85" w:type="dxa"/>
        </w:tblCellMar>
        <w:tblLook w:val="01e0"/>
      </w:tblPr>
      <w:tblGrid>
        <w:gridCol w:w="707"/>
        <w:gridCol w:w="3403"/>
        <w:gridCol w:w="1134"/>
        <w:gridCol w:w="1133"/>
        <w:gridCol w:w="1134"/>
        <w:gridCol w:w="1134"/>
        <w:gridCol w:w="1277"/>
      </w:tblGrid>
      <w:tr>
        <w:trPr>
          <w:trHeight w:val="20" w:hRule="atLeast"/>
          <w:cantSplit w:val="true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0"/>
              </w:numPr>
              <w:ind w:left="-38" w:hanging="0"/>
              <w:jc w:val="center"/>
              <w:outlineLvl w:val="0"/>
              <w:rPr>
                <w:rFonts w:ascii="Times New Roman" w:hAnsi="Times New Roman" w:eastAsia="Times New Roman"/>
                <w:b/>
                <w:b/>
                <w:sz w:val="20"/>
                <w:szCs w:val="20"/>
              </w:rPr>
            </w:pPr>
            <w:r>
              <w:rPr>
                <w:rFonts w:eastAsia="Times New Roman" w:ascii="Times New Roman" w:hAnsi="Times New Roman"/>
                <w:b/>
                <w:sz w:val="20"/>
                <w:szCs w:val="20"/>
              </w:rPr>
              <w:t xml:space="preserve">№ </w:t>
            </w:r>
            <w:r>
              <w:rPr>
                <w:rFonts w:eastAsia="Times New Roman" w:ascii="Times New Roman" w:hAnsi="Times New Roman"/>
                <w:b/>
                <w:sz w:val="20"/>
                <w:szCs w:val="20"/>
              </w:rPr>
              <w:t>п/п</w:t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0"/>
              </w:numPr>
              <w:ind w:left="0" w:hanging="0"/>
              <w:jc w:val="center"/>
              <w:outlineLvl w:val="0"/>
              <w:rPr>
                <w:rFonts w:ascii="Times New Roman" w:hAnsi="Times New Roman" w:eastAsia="Times New Roman"/>
                <w:b/>
                <w:b/>
                <w:sz w:val="20"/>
                <w:szCs w:val="20"/>
              </w:rPr>
            </w:pPr>
            <w:r>
              <w:rPr>
                <w:rFonts w:eastAsia="Times New Roman" w:ascii="Times New Roman" w:hAnsi="Times New Roman"/>
                <w:b/>
                <w:sz w:val="20"/>
                <w:szCs w:val="20"/>
              </w:rPr>
            </w:r>
          </w:p>
          <w:p>
            <w:pPr>
              <w:pStyle w:val="Normal"/>
              <w:widowControl w:val="false"/>
              <w:numPr>
                <w:ilvl w:val="0"/>
                <w:numId w:val="0"/>
              </w:numPr>
              <w:ind w:left="0" w:hanging="0"/>
              <w:jc w:val="center"/>
              <w:outlineLvl w:val="0"/>
              <w:rPr>
                <w:rFonts w:ascii="Times New Roman" w:hAnsi="Times New Roman" w:eastAsia="Times New Roman"/>
                <w:b/>
                <w:b/>
                <w:sz w:val="20"/>
                <w:szCs w:val="20"/>
              </w:rPr>
            </w:pPr>
            <w:r>
              <w:rPr>
                <w:rFonts w:eastAsia="Times New Roman" w:ascii="Times New Roman" w:hAnsi="Times New Roman"/>
                <w:b/>
                <w:sz w:val="20"/>
                <w:szCs w:val="20"/>
              </w:rPr>
              <w:t>Наименование параметра</w:t>
            </w:r>
          </w:p>
        </w:tc>
        <w:tc>
          <w:tcPr>
            <w:tcW w:w="581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0"/>
              </w:numPr>
              <w:ind w:left="0" w:hanging="0"/>
              <w:jc w:val="center"/>
              <w:outlineLvl w:val="0"/>
              <w:rPr>
                <w:rFonts w:ascii="Times New Roman" w:hAnsi="Times New Roman" w:eastAsia="Times New Roman"/>
                <w:b/>
                <w:b/>
                <w:sz w:val="20"/>
                <w:szCs w:val="20"/>
              </w:rPr>
            </w:pPr>
            <w:r>
              <w:rPr>
                <w:rFonts w:eastAsia="Times New Roman" w:ascii="Times New Roman" w:hAnsi="Times New Roman"/>
                <w:b/>
                <w:sz w:val="20"/>
                <w:szCs w:val="20"/>
              </w:rPr>
              <w:t>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</w:t>
            </w:r>
          </w:p>
        </w:tc>
      </w:tr>
      <w:tr>
        <w:trPr>
          <w:trHeight w:val="31" w:hRule="atLeast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ind w:left="-38" w:hanging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  <w:b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Ж1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  <w:b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Ж2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  <w:b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Ж8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  <w:b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О1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  <w:b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О2</w:t>
            </w:r>
          </w:p>
        </w:tc>
      </w:tr>
      <w:tr>
        <w:trPr>
          <w:trHeight w:val="31" w:hRule="atLeast"/>
        </w:trPr>
        <w:tc>
          <w:tcPr>
            <w:tcW w:w="992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ind w:left="-38" w:hanging="0"/>
              <w:jc w:val="center"/>
              <w:rPr>
                <w:rFonts w:ascii="Times New Roman" w:hAnsi="Times New Roman"/>
                <w:b/>
                <w:b/>
              </w:rPr>
            </w:pPr>
            <w:r>
              <w:rPr>
                <w:rFonts w:ascii="Times New Roman" w:hAnsi="Times New Roman"/>
                <w:b/>
                <w:color w:val="000000"/>
              </w:rPr>
              <w:t>Предельные (минимальные и (или) максимальные) размеры земельных участков, в том числе их площадь</w:t>
            </w:r>
          </w:p>
        </w:tc>
      </w:tr>
      <w:tr>
        <w:trPr>
          <w:trHeight w:val="31" w:hRule="atLeast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numPr>
                <w:ilvl w:val="0"/>
                <w:numId w:val="10"/>
              </w:numPr>
              <w:spacing w:before="0" w:after="0"/>
              <w:ind w:left="-38" w:hanging="0"/>
              <w:contextualSpacing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Times New Roman" w:hAnsi="Times New Roman"/>
              </w:rPr>
            </w:pPr>
            <w:r>
              <w:rPr>
                <w:rFonts w:eastAsia="MS MinNew Roman" w:ascii="Times New Roman" w:hAnsi="Times New Roman"/>
                <w:bCs/>
              </w:rPr>
              <w:t>Минимальная площадь земельного участка для индивидуальной жилой застройки, кв.м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600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>
        <w:trPr>
          <w:trHeight w:val="31" w:hRule="atLeast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numPr>
                <w:ilvl w:val="0"/>
                <w:numId w:val="11"/>
              </w:numPr>
              <w:spacing w:before="0" w:after="0"/>
              <w:ind w:left="-38" w:hanging="0"/>
              <w:contextualSpacing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Times New Roman" w:hAnsi="Times New Roman"/>
              </w:rPr>
            </w:pPr>
            <w:r>
              <w:rPr>
                <w:rFonts w:eastAsia="MS MinNew Roman" w:ascii="Times New Roman" w:hAnsi="Times New Roman"/>
                <w:bCs/>
              </w:rPr>
              <w:t>Максимальная площадь земельного участка для индивидуальной жилой застройки, кв. м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3000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3000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3000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>
        <w:trPr>
          <w:trHeight w:val="31" w:hRule="atLeast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numPr>
                <w:ilvl w:val="0"/>
                <w:numId w:val="12"/>
              </w:numPr>
              <w:spacing w:before="0" w:after="0"/>
              <w:ind w:left="-38" w:hanging="0"/>
              <w:contextualSpacing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Минимальная площадь земельного участка для блокированной жилой застройки, кв.м на каждый блок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>
        <w:trPr>
          <w:trHeight w:val="537" w:hRule="atLeast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spacing w:before="0" w:after="0"/>
              <w:ind w:left="-38" w:hanging="0"/>
              <w:contextualSpacing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Максимальная площадь земельного участка для блокированной жилой застройки, кв.м на каждый  блок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3000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3000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3000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>
        <w:trPr>
          <w:trHeight w:val="31" w:hRule="atLeast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numPr>
                <w:ilvl w:val="0"/>
                <w:numId w:val="14"/>
              </w:numPr>
              <w:spacing w:before="0" w:after="0"/>
              <w:ind w:left="-38" w:hanging="0"/>
              <w:contextualSpacing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Минимальная площадь земельного участка для ведения личного подсобного хозяйства, кв.м.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1500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>
        <w:trPr>
          <w:trHeight w:val="404" w:hRule="atLeast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pacing w:before="0" w:after="0"/>
              <w:ind w:left="-38" w:hanging="0"/>
              <w:contextualSpacing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Максимальная площадь земельного участка для ведения личного подсобного хозяйства, кв.м.</w:t>
            </w:r>
          </w:p>
          <w:p>
            <w:pPr>
              <w:pStyle w:val="Normal"/>
              <w:widowControl w:val="false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5000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>
        <w:trPr>
          <w:trHeight w:val="31" w:hRule="atLeast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numPr>
                <w:ilvl w:val="0"/>
                <w:numId w:val="16"/>
              </w:numPr>
              <w:spacing w:before="0" w:after="0"/>
              <w:ind w:left="-38" w:hanging="0"/>
              <w:contextualSpacing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Минимальная площадь земельного участка для многоквартирной жилой застройки до трех этажей, кв.м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>
        <w:trPr>
          <w:trHeight w:val="31" w:hRule="atLeast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ind w:left="-38" w:hanging="0"/>
              <w:contextualSpacing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7.1</w:t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Максимальная площадь земельного участка для многоквартирной жилой застройки до трех этажей, кв.м.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22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подлежит ограничению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>
        <w:trPr>
          <w:trHeight w:val="31" w:hRule="atLeast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numPr>
                <w:ilvl w:val="0"/>
                <w:numId w:val="17"/>
              </w:numPr>
              <w:spacing w:before="0" w:after="0"/>
              <w:ind w:left="-38" w:hanging="0"/>
              <w:contextualSpacing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Минимальная площадь земельного участка для многоквартирной жилой застройки свыше трех этажей, кв.м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>
        <w:trPr>
          <w:trHeight w:val="563" w:hRule="atLeast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ind w:left="-38" w:hanging="0"/>
              <w:contextualSpacing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8.1</w:t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Максимальная площадь земельного участка для многоквартирной жилой застройки свыше трех этажей, кв.м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22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подлежит ограничению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277" w:type="dxa"/>
            <w:tcBorders>
              <w:left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>
        <w:trPr>
          <w:trHeight w:val="31" w:hRule="atLeast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numPr>
                <w:ilvl w:val="0"/>
                <w:numId w:val="18"/>
              </w:numPr>
              <w:spacing w:before="0" w:after="0"/>
              <w:ind w:left="-38" w:hanging="0"/>
              <w:contextualSpacing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Минимальная площадь земельного участка для садоводства и дачного хозяйства, кв. м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>
        <w:trPr>
          <w:trHeight w:val="31" w:hRule="atLeast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numPr>
                <w:ilvl w:val="0"/>
                <w:numId w:val="19"/>
              </w:numPr>
              <w:spacing w:before="0" w:after="0"/>
              <w:ind w:left="-38" w:hanging="0"/>
              <w:contextualSpacing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Максимальная площадь земельного участка для садоводства и дачного хозяйства, кв.м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>
        <w:trPr>
          <w:trHeight w:val="31" w:hRule="atLeast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spacing w:before="0" w:after="0"/>
              <w:ind w:left="-38" w:hanging="0"/>
              <w:contextualSpacing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Минимальная площадь земельного участка для огородничества, кв.м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>
        <w:trPr>
          <w:trHeight w:val="31" w:hRule="atLeast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numPr>
                <w:ilvl w:val="0"/>
                <w:numId w:val="21"/>
              </w:numPr>
              <w:spacing w:before="0" w:after="0"/>
              <w:ind w:left="-38" w:hanging="0"/>
              <w:contextualSpacing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Максимальная площадь земельного участка для огородничества, кв.м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>
        <w:trPr>
          <w:trHeight w:val="31" w:hRule="atLeast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numPr>
                <w:ilvl w:val="0"/>
                <w:numId w:val="22"/>
              </w:numPr>
              <w:spacing w:before="0" w:after="0"/>
              <w:ind w:left="-38" w:hanging="0"/>
              <w:contextualSpacing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Times New Roman" w:ascii="Times New Roman" w:hAnsi="Times New Roman"/>
              </w:rPr>
              <w:t>Минимальная площадь земельного участка для размещения дошкольных образовательных учреждений и объектов начального общего и среднего (полного) общего образования, м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eastAsia="Times New Roman" w:ascii="Times New Roman" w:hAnsi="Times New Roman"/>
              </w:rPr>
              <w:t>4000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eastAsia="Times New Roman" w:ascii="Times New Roman" w:hAnsi="Times New Roman"/>
              </w:rPr>
              <w:t>4000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4000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4000</w:t>
            </w:r>
          </w:p>
        </w:tc>
      </w:tr>
      <w:tr>
        <w:trPr>
          <w:trHeight w:val="15" w:hRule="atLeast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numPr>
                <w:ilvl w:val="0"/>
                <w:numId w:val="23"/>
              </w:numPr>
              <w:spacing w:before="0" w:after="0"/>
              <w:ind w:left="-38" w:hanging="0"/>
              <w:contextualSpacing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  <w:t>Минимальная площадь земельного участка для размещения объектов среднего профессионально и высшего проф. образования, м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  <w:t>-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Times New Roman"/>
              </w:rPr>
            </w:pPr>
            <w:r>
              <w:rPr>
                <w:rFonts w:ascii="Times New Roman" w:hAnsi="Times New Roman"/>
              </w:rPr>
              <w:t>7500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  <w:t>7500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  <w:t>7500</w:t>
            </w:r>
          </w:p>
        </w:tc>
      </w:tr>
      <w:tr>
        <w:trPr>
          <w:trHeight w:val="31" w:hRule="atLeast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numPr>
                <w:ilvl w:val="0"/>
                <w:numId w:val="24"/>
              </w:numPr>
              <w:spacing w:before="0" w:after="0"/>
              <w:ind w:left="-38" w:hanging="0"/>
              <w:contextualSpacing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  <w:t xml:space="preserve">Минимальная площадь земельного участка для размещения </w:t>
            </w:r>
            <w:r>
              <w:rPr>
                <w:rFonts w:ascii="Times New Roman" w:hAnsi="Times New Roman"/>
                <w:bCs/>
              </w:rPr>
              <w:t>инженерно-технических объектов, сооружений и коммуникаций, допустимых к размещению в соответствии с требованиями санитарно-эпидемиологического законодательства, кв.м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  <w:t>4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  <w:t>4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  <w:t>4</w:t>
            </w:r>
          </w:p>
        </w:tc>
      </w:tr>
      <w:tr>
        <w:trPr>
          <w:trHeight w:val="31" w:hRule="atLeast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numPr>
                <w:ilvl w:val="0"/>
                <w:numId w:val="25"/>
              </w:numPr>
              <w:spacing w:before="0" w:after="0"/>
              <w:ind w:left="-38" w:hanging="0"/>
              <w:contextualSpacing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  <w:t>Минимальная площадь земельного участка для иных основных и условно-разрешенных видов использования земельных участков, за исключением, указанных в пунктах 1-15 настоящей таблицы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  <w:t>1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  <w:t>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  <w:t>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  <w:t>100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  <w:t>1</w:t>
            </w:r>
          </w:p>
        </w:tc>
      </w:tr>
      <w:tr>
        <w:trPr>
          <w:trHeight w:val="31" w:hRule="atLeast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ind w:left="-38" w:hanging="0"/>
              <w:contextualSpacing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16.1</w:t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  <w:t>Максимальная площадь земельного участка для иных основных и условно-разрешенных видов использования земельных участков, за исключением, указанных в пунктах 1-15 настоящей таблицы</w:t>
            </w:r>
          </w:p>
        </w:tc>
        <w:tc>
          <w:tcPr>
            <w:tcW w:w="340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  <w:t>не подлежит ограничению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  <w:t>не подлежит ограничению</w:t>
            </w:r>
          </w:p>
        </w:tc>
      </w:tr>
      <w:tr>
        <w:trPr>
          <w:trHeight w:val="31" w:hRule="atLeast"/>
        </w:trPr>
        <w:tc>
          <w:tcPr>
            <w:tcW w:w="992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ind w:left="-38" w:hanging="0"/>
              <w:jc w:val="center"/>
              <w:rPr>
                <w:rFonts w:ascii="Times New Roman" w:hAnsi="Times New Roman"/>
                <w:b/>
                <w:b/>
              </w:rPr>
            </w:pPr>
            <w:r>
              <w:rPr>
                <w:rFonts w:eastAsia="Times New Roman" w:ascii="Times New Roman" w:hAnsi="Times New Roman"/>
                <w:b/>
              </w:rPr>
              <w:t>Предельное количество этажей или предельная высота зданий, строений, сооружений</w:t>
            </w:r>
          </w:p>
        </w:tc>
      </w:tr>
      <w:tr>
        <w:trPr>
          <w:trHeight w:val="31" w:hRule="atLeast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numPr>
                <w:ilvl w:val="0"/>
                <w:numId w:val="26"/>
              </w:numPr>
              <w:tabs>
                <w:tab w:val="clear" w:pos="708"/>
                <w:tab w:val="left" w:pos="401" w:leader="none"/>
              </w:tabs>
              <w:spacing w:before="0" w:after="0"/>
              <w:ind w:left="-38" w:hanging="0"/>
              <w:contextualSpacing/>
              <w:jc w:val="both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Times New Roman" w:hAnsi="Times New Roman"/>
              </w:rPr>
            </w:pPr>
            <w:r>
              <w:rPr>
                <w:rFonts w:eastAsia="MS MinNew Roman" w:ascii="Times New Roman" w:hAnsi="Times New Roman"/>
                <w:bCs/>
              </w:rPr>
              <w:t>Максимальная высота зданий, строений, сооружений, м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22,5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</w:t>
            </w:r>
          </w:p>
        </w:tc>
      </w:tr>
      <w:tr>
        <w:trPr>
          <w:trHeight w:val="31" w:hRule="atLeast"/>
        </w:trPr>
        <w:tc>
          <w:tcPr>
            <w:tcW w:w="992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ind w:left="-38" w:hanging="0"/>
              <w:jc w:val="center"/>
              <w:rPr>
                <w:rFonts w:ascii="Times New Roman" w:hAnsi="Times New Roman"/>
                <w:b/>
                <w:b/>
              </w:rPr>
            </w:pPr>
            <w:r>
              <w:rPr>
                <w:rFonts w:eastAsia="Times New Roman" w:ascii="Times New Roman" w:hAnsi="Times New Roman"/>
                <w:b/>
              </w:rPr>
              <w:t xml:space="preserve">Минимальные отступы от границ земельных участков </w:t>
            </w:r>
            <w:r>
              <w:rPr>
                <w:rFonts w:ascii="Times New Roman" w:hAnsi="Times New Roman"/>
                <w:b/>
                <w:color w:val="000000"/>
              </w:rPr>
              <w:t>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</w:t>
            </w:r>
          </w:p>
        </w:tc>
      </w:tr>
      <w:tr>
        <w:trPr>
          <w:trHeight w:val="31" w:hRule="atLeast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numPr>
                <w:ilvl w:val="0"/>
                <w:numId w:val="27"/>
              </w:numPr>
              <w:spacing w:before="0" w:after="0"/>
              <w:ind w:left="-38" w:hanging="0"/>
              <w:contextualSpacing/>
              <w:jc w:val="both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Times New Roman" w:hAnsi="Times New Roman"/>
              </w:rPr>
            </w:pPr>
            <w:r>
              <w:rPr>
                <w:rFonts w:eastAsia="MS MinNew Roman" w:ascii="Times New Roman" w:hAnsi="Times New Roman"/>
                <w:bCs/>
              </w:rPr>
              <w:t>Минимальный отступ от границ земельных участков до отдельно стоящих зданий, м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</w:p>
        </w:tc>
      </w:tr>
      <w:tr>
        <w:trPr>
          <w:trHeight w:val="31" w:hRule="atLeast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numPr>
                <w:ilvl w:val="0"/>
                <w:numId w:val="28"/>
              </w:numPr>
              <w:spacing w:before="0" w:after="0"/>
              <w:ind w:left="-38" w:hanging="0"/>
              <w:contextualSpacing/>
              <w:jc w:val="both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Times New Roman" w:hAnsi="Times New Roman"/>
              </w:rPr>
            </w:pPr>
            <w:r>
              <w:rPr>
                <w:rFonts w:eastAsia="MS MinNew Roman" w:ascii="Times New Roman" w:hAnsi="Times New Roman"/>
                <w:bCs/>
              </w:rPr>
              <w:t>Минимальный отступ от границ земельных участков до строений и сооружений, м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</w:tr>
      <w:tr>
        <w:trPr>
          <w:trHeight w:val="31" w:hRule="atLeast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numPr>
                <w:ilvl w:val="0"/>
                <w:numId w:val="29"/>
              </w:numPr>
              <w:spacing w:before="0" w:after="0"/>
              <w:ind w:left="-38" w:hanging="0"/>
              <w:contextualSpacing/>
              <w:jc w:val="both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Минимальный отступ от границ земельного участка при строительстве, реконструкции жилых домов блокированной застройки в месте примыкания с соседними блоками, м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>
        <w:trPr>
          <w:trHeight w:val="29" w:hRule="atLeast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numPr>
                <w:ilvl w:val="0"/>
                <w:numId w:val="30"/>
              </w:numPr>
              <w:spacing w:before="0" w:after="0"/>
              <w:ind w:left="-38" w:hanging="0"/>
              <w:contextualSpacing/>
              <w:jc w:val="both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Times New Roman" w:hAnsi="Times New Roman"/>
              </w:rPr>
            </w:pPr>
            <w:r>
              <w:rPr>
                <w:rFonts w:eastAsia="MS MinNew Roman" w:ascii="Times New Roman" w:hAnsi="Times New Roman"/>
                <w:bCs/>
              </w:rPr>
              <w:t xml:space="preserve">Минимальный отступ от границ земельных участков до </w:t>
            </w:r>
            <w:r>
              <w:rPr>
                <w:rFonts w:eastAsia="Times New Roman" w:ascii="Times New Roman" w:hAnsi="Times New Roman"/>
              </w:rPr>
              <w:t xml:space="preserve"> дошкольных образовательных учреждений и объектов начального общего и среднего (полного) общего образования</w:t>
            </w:r>
            <w:r>
              <w:rPr>
                <w:rFonts w:eastAsia="MS MinNew Roman" w:ascii="Times New Roman" w:hAnsi="Times New Roman"/>
                <w:bCs/>
              </w:rPr>
              <w:t xml:space="preserve"> , м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</w:t>
            </w:r>
          </w:p>
        </w:tc>
      </w:tr>
      <w:tr>
        <w:trPr>
          <w:trHeight w:val="31" w:hRule="atLeast"/>
        </w:trPr>
        <w:tc>
          <w:tcPr>
            <w:tcW w:w="992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ind w:left="-38" w:hanging="0"/>
              <w:jc w:val="center"/>
              <w:rPr>
                <w:rFonts w:ascii="Times New Roman" w:hAnsi="Times New Roman"/>
                <w:b/>
                <w:b/>
              </w:rPr>
            </w:pPr>
            <w:r>
              <w:rPr>
                <w:rFonts w:eastAsia="Times New Roman" w:ascii="Times New Roman" w:hAnsi="Times New Roman"/>
                <w:b/>
              </w:rPr>
              <w:t xml:space="preserve">Максимальный процент застройки </w:t>
            </w:r>
            <w:r>
              <w:rPr>
                <w:rFonts w:ascii="Times New Roman" w:hAnsi="Times New Roman"/>
                <w:b/>
                <w:color w:val="000000"/>
              </w:rPr>
              <w:t>в границах земельного участка, определяемый как отношение суммарной площади земельного участка, которая может быть застроена, ко всей площади земельного участка</w:t>
            </w:r>
          </w:p>
        </w:tc>
      </w:tr>
      <w:tr>
        <w:trPr>
          <w:trHeight w:val="31" w:hRule="atLeast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numPr>
                <w:ilvl w:val="0"/>
                <w:numId w:val="31"/>
              </w:numPr>
              <w:spacing w:before="0" w:after="0"/>
              <w:ind w:left="-38" w:hanging="0"/>
              <w:contextualSpacing/>
              <w:jc w:val="both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numPr>
                <w:ilvl w:val="0"/>
                <w:numId w:val="0"/>
              </w:numPr>
              <w:ind w:left="0" w:hanging="0"/>
              <w:jc w:val="both"/>
              <w:outlineLvl w:val="0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Максимальный процент застройки в границах земельного участка для индивидуальной жилой застройки, %</w:t>
            </w:r>
          </w:p>
          <w:p>
            <w:pPr>
              <w:pStyle w:val="Normal"/>
              <w:widowControl w:val="false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eastAsia="MS MinNew Roman" w:ascii="Times New Roman" w:hAnsi="Times New Roman"/>
              </w:rPr>
              <w:t>60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eastAsia="Times New Roman" w:ascii="Times New Roman" w:hAnsi="Times New Roman"/>
              </w:rPr>
              <w:t>60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>
        <w:trPr>
          <w:trHeight w:val="350" w:hRule="atLeast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numPr>
                <w:ilvl w:val="0"/>
                <w:numId w:val="32"/>
              </w:numPr>
              <w:spacing w:before="0" w:after="0"/>
              <w:ind w:left="-38" w:hanging="0"/>
              <w:contextualSpacing/>
              <w:jc w:val="both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numPr>
                <w:ilvl w:val="0"/>
                <w:numId w:val="0"/>
              </w:numPr>
              <w:ind w:left="0" w:hanging="0"/>
              <w:jc w:val="both"/>
              <w:outlineLvl w:val="0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Максимальный процент застройки в границах земельного участка для ведения личного подсобного хозяйства, %</w:t>
            </w:r>
          </w:p>
          <w:p>
            <w:pPr>
              <w:pStyle w:val="Normal"/>
              <w:widowControl w:val="false"/>
              <w:numPr>
                <w:ilvl w:val="0"/>
                <w:numId w:val="0"/>
              </w:numPr>
              <w:ind w:left="0" w:hanging="0"/>
              <w:jc w:val="both"/>
              <w:outlineLvl w:val="0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</w:rPr>
            </w:pPr>
            <w:r>
              <w:rPr>
                <w:rFonts w:ascii="Times New Roman" w:hAnsi="Times New Roman"/>
              </w:rPr>
              <w:t>50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>
        <w:trPr>
          <w:trHeight w:val="350" w:hRule="atLeast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numPr>
                <w:ilvl w:val="0"/>
                <w:numId w:val="33"/>
              </w:numPr>
              <w:spacing w:before="0" w:after="0"/>
              <w:ind w:left="-38" w:hanging="0"/>
              <w:contextualSpacing/>
              <w:jc w:val="both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numPr>
                <w:ilvl w:val="0"/>
                <w:numId w:val="0"/>
              </w:numPr>
              <w:ind w:left="0" w:hanging="0"/>
              <w:jc w:val="both"/>
              <w:outlineLvl w:val="0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Максимальный процент застройки в границах земельного участка для блокированной жилой застройки, %</w:t>
            </w:r>
          </w:p>
          <w:p>
            <w:pPr>
              <w:pStyle w:val="Normal"/>
              <w:widowControl w:val="false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eastAsia="MS MinNew Roman" w:ascii="Times New Roman" w:hAnsi="Times New Roman"/>
              </w:rPr>
              <w:t>80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eastAsia="Times New Roman" w:ascii="Times New Roman" w:hAnsi="Times New Roman"/>
              </w:rPr>
              <w:t>80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>
        <w:trPr>
          <w:trHeight w:val="293" w:hRule="atLeast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numPr>
                <w:ilvl w:val="0"/>
                <w:numId w:val="34"/>
              </w:numPr>
              <w:spacing w:before="0" w:after="0"/>
              <w:ind w:left="-38" w:hanging="0"/>
              <w:contextualSpacing/>
              <w:jc w:val="both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Times New Roman" w:hAnsi="Times New Roman"/>
              </w:rPr>
            </w:pPr>
            <w:r>
              <w:rPr>
                <w:rFonts w:eastAsia="MS MinNew Roman" w:ascii="Times New Roman" w:hAnsi="Times New Roman"/>
              </w:rPr>
              <w:t>Максимальный процент застройки в границах земельного участка для многоквартирной жилой застройки, %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eastAsia="MS MinNew Roman" w:ascii="Times New Roman" w:hAnsi="Times New Roman"/>
              </w:rPr>
              <w:t>-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eastAsia="Times New Roman" w:ascii="Times New Roman" w:hAnsi="Times New Roman"/>
              </w:rPr>
              <w:t>50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>
        <w:trPr>
          <w:trHeight w:val="289" w:hRule="atLeast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numPr>
                <w:ilvl w:val="0"/>
                <w:numId w:val="35"/>
              </w:numPr>
              <w:spacing w:before="0" w:after="0"/>
              <w:ind w:left="-38" w:hanging="0"/>
              <w:contextualSpacing/>
              <w:jc w:val="both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eastAsia="MS MinNew Roman"/>
              </w:rPr>
            </w:pPr>
            <w:r>
              <w:rPr>
                <w:rFonts w:eastAsia="MS MinNew Roman" w:ascii="Times New Roman" w:hAnsi="Times New Roman"/>
              </w:rPr>
              <w:t>Максимальный процент застройки в границах земельного участка для садоводства и дачного хозяйства, %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</w:rPr>
            </w:pPr>
            <w:r>
              <w:rPr>
                <w:rFonts w:eastAsia="MS MinNew Roman" w:ascii="Times New Roman" w:hAnsi="Times New Roman"/>
              </w:rPr>
              <w:t>-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>
        <w:trPr>
          <w:trHeight w:val="585" w:hRule="atLeast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numPr>
                <w:ilvl w:val="0"/>
                <w:numId w:val="36"/>
              </w:numPr>
              <w:spacing w:before="0" w:after="0"/>
              <w:ind w:left="-38" w:hanging="0"/>
              <w:contextualSpacing/>
              <w:jc w:val="both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eastAsia="MS MinNew Roman"/>
              </w:rPr>
            </w:pPr>
            <w:r>
              <w:rPr>
                <w:rFonts w:eastAsia="MS MinNew Roman" w:ascii="Times New Roman" w:hAnsi="Times New Roman"/>
              </w:rPr>
              <w:t xml:space="preserve">Максимальный процент застройки </w:t>
            </w:r>
            <w:r>
              <w:rPr>
                <w:rFonts w:eastAsia="Times New Roman" w:ascii="Times New Roman" w:hAnsi="Times New Roman"/>
              </w:rPr>
              <w:t xml:space="preserve">для размещения </w:t>
            </w:r>
            <w:r>
              <w:rPr>
                <w:rFonts w:ascii="Times New Roman" w:hAnsi="Times New Roman"/>
                <w:bCs/>
              </w:rPr>
              <w:t>инженерно-технических объектов, сооружений и коммуникаций, допустимых к размещению в соответствии с требованиями санитарно-эпидемиологического законодательства, %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</w:rPr>
            </w:pPr>
            <w:r>
              <w:rPr>
                <w:rFonts w:eastAsia="MS MinNew Roman" w:ascii="Times New Roman" w:hAnsi="Times New Roman"/>
              </w:rPr>
              <w:t>90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Times New Roman"/>
              </w:rPr>
            </w:pPr>
            <w:r>
              <w:rPr>
                <w:rFonts w:eastAsia="MS MinNew Roman" w:ascii="Times New Roman" w:hAnsi="Times New Roman"/>
              </w:rPr>
              <w:t>90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eastAsia="MS MinNew Roman" w:ascii="Times New Roman" w:hAnsi="Times New Roman"/>
              </w:rPr>
              <w:t>90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eastAsia="MS MinNew Roman" w:ascii="Times New Roman" w:hAnsi="Times New Roman"/>
              </w:rPr>
              <w:t>90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eastAsia="MS MinNew Roman" w:ascii="Times New Roman" w:hAnsi="Times New Roman"/>
              </w:rPr>
              <w:t>90</w:t>
            </w:r>
          </w:p>
        </w:tc>
      </w:tr>
      <w:tr>
        <w:trPr>
          <w:trHeight w:val="61" w:hRule="atLeast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numPr>
                <w:ilvl w:val="0"/>
                <w:numId w:val="37"/>
              </w:numPr>
              <w:spacing w:before="0" w:after="0"/>
              <w:ind w:left="-38" w:hanging="0"/>
              <w:contextualSpacing/>
              <w:jc w:val="both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Times New Roman" w:hAnsi="Times New Roman"/>
              </w:rPr>
            </w:pPr>
            <w:r>
              <w:rPr>
                <w:rFonts w:eastAsia="MS MinNew Roman" w:ascii="Times New Roman" w:hAnsi="Times New Roman"/>
                <w:bCs/>
              </w:rPr>
              <w:t>Максимальный процент застройки в границах земельного участка в иных случаях, за исключением случаев, указанных в пунктах 22-27 настоящей таблицы, %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eastAsia="MS MinNew Roman" w:ascii="Times New Roman" w:hAnsi="Times New Roman"/>
              </w:rPr>
              <w:t>90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eastAsia="Times New Roman" w:ascii="Times New Roman" w:hAnsi="Times New Roman"/>
              </w:rPr>
              <w:t>90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90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90</w:t>
            </w:r>
          </w:p>
        </w:tc>
      </w:tr>
      <w:tr>
        <w:trPr>
          <w:trHeight w:val="31" w:hRule="atLeast"/>
        </w:trPr>
        <w:tc>
          <w:tcPr>
            <w:tcW w:w="992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ind w:left="-38" w:hanging="0"/>
              <w:jc w:val="center"/>
              <w:rPr>
                <w:rFonts w:ascii="Times New Roman" w:hAnsi="Times New Roman"/>
                <w:b/>
                <w:b/>
              </w:rPr>
            </w:pPr>
            <w:r>
              <w:rPr>
                <w:rFonts w:eastAsia="Times New Roman" w:ascii="Times New Roman" w:hAnsi="Times New Roman"/>
                <w:b/>
              </w:rPr>
              <w:t>Иные показатели</w:t>
            </w:r>
          </w:p>
        </w:tc>
      </w:tr>
      <w:tr>
        <w:trPr>
          <w:trHeight w:val="31" w:hRule="atLeast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numPr>
                <w:ilvl w:val="0"/>
                <w:numId w:val="38"/>
              </w:numPr>
              <w:spacing w:before="0" w:after="0"/>
              <w:ind w:left="-38" w:hanging="0"/>
              <w:contextualSpacing/>
              <w:jc w:val="both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Times New Roman" w:hAnsi="Times New Roman"/>
              </w:rPr>
            </w:pPr>
            <w:r>
              <w:rPr>
                <w:rFonts w:eastAsia="MS MinNew Roman" w:ascii="Times New Roman" w:hAnsi="Times New Roman"/>
                <w:bCs/>
              </w:rPr>
              <w:t>Минимальный отступ (бытовой разрыв) между зданиями индивидуальной жилой застройки и (или) зданиями блокированной жилой застройки, м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>
        <w:trPr>
          <w:trHeight w:val="31" w:hRule="atLeast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numPr>
                <w:ilvl w:val="0"/>
                <w:numId w:val="39"/>
              </w:numPr>
              <w:spacing w:before="0" w:after="0"/>
              <w:ind w:left="-38" w:hanging="0"/>
              <w:contextualSpacing/>
              <w:jc w:val="both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Минимальный отступ (бытовой разрыв) между  зданиями многоквартирной жилой застройки, м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>
        <w:trPr>
          <w:trHeight w:val="167" w:hRule="atLeast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numPr>
                <w:ilvl w:val="0"/>
                <w:numId w:val="40"/>
              </w:numPr>
              <w:spacing w:before="0" w:after="0"/>
              <w:ind w:left="-38" w:hanging="0"/>
              <w:contextualSpacing/>
              <w:jc w:val="both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Times New Roman" w:hAnsi="Times New Roman"/>
              </w:rPr>
            </w:pPr>
            <w:r>
              <w:rPr>
                <w:rFonts w:eastAsia="MS MinNew Roman" w:ascii="Times New Roman" w:hAnsi="Times New Roman"/>
                <w:bCs/>
              </w:rPr>
              <w:t>Максимальное количество автономных жилых блоков в блокированном жилом доме, шт.</w:t>
            </w:r>
          </w:p>
        </w:tc>
        <w:tc>
          <w:tcPr>
            <w:tcW w:w="340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не подлежит ограничению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не подлежит ограничению</w:t>
            </w:r>
          </w:p>
        </w:tc>
      </w:tr>
      <w:tr>
        <w:trPr>
          <w:trHeight w:val="410" w:hRule="atLeast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numPr>
                <w:ilvl w:val="0"/>
                <w:numId w:val="41"/>
              </w:numPr>
              <w:spacing w:before="0" w:after="0"/>
              <w:ind w:left="-38" w:hanging="0"/>
              <w:contextualSpacing/>
              <w:jc w:val="both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Максимальная площадь встроенных и пристроенных  помещений нежилого назначения в жилых зданиях (за исключением объектов образования и здравоохранения), кв.м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>
        <w:trPr>
          <w:trHeight w:val="392" w:hRule="atLeast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numPr>
                <w:ilvl w:val="0"/>
                <w:numId w:val="42"/>
              </w:numPr>
              <w:spacing w:before="0" w:after="0"/>
              <w:ind w:left="-38" w:hanging="0"/>
              <w:contextualSpacing/>
              <w:jc w:val="both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Максимальная площадь отдельно стоящих зданий, строений нежилого назначения (за исключением объектов образования, здравоохранения и объектов физической культуры и спорта, хранения и стоянки транспортных средств), кв.м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500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1000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>
        <w:trPr>
          <w:trHeight w:val="31" w:hRule="atLeast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numPr>
                <w:ilvl w:val="0"/>
                <w:numId w:val="43"/>
              </w:numPr>
              <w:spacing w:before="0" w:after="0"/>
              <w:ind w:left="-38" w:hanging="0"/>
              <w:contextualSpacing/>
              <w:jc w:val="both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Максимальная площадь отдельно стоящих зданий объектов физической культуры и спорта, кв.м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>
        <w:trPr>
          <w:trHeight w:val="31" w:hRule="atLeast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numPr>
                <w:ilvl w:val="0"/>
                <w:numId w:val="44"/>
              </w:numPr>
              <w:spacing w:before="0" w:after="0"/>
              <w:ind w:left="-38" w:hanging="0"/>
              <w:contextualSpacing/>
              <w:jc w:val="both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Максимальная площадь отдельно стоящих зданий, строений, сооружений объектов хранения и стоянки транспортных средств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300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1200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>
        <w:trPr>
          <w:trHeight w:val="31" w:hRule="atLeast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numPr>
                <w:ilvl w:val="0"/>
                <w:numId w:val="45"/>
              </w:numPr>
              <w:spacing w:before="0" w:after="0"/>
              <w:ind w:left="-38" w:hanging="0"/>
              <w:contextualSpacing/>
              <w:jc w:val="both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Максимальная высота капитальных ограждений земельных участков, м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</w:tbl>
    <w:p>
      <w:pPr>
        <w:pStyle w:val="Normal"/>
        <w:ind w:right="-1" w:firstLine="70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Примечание: В целях применения настоящей статьи знак «-» в столбце «Значение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зонах» означает, что данный параметр не подлежит установлению.»</w:t>
      </w:r>
    </w:p>
    <w:p>
      <w:pPr>
        <w:pStyle w:val="Normal"/>
        <w:spacing w:lineRule="auto" w:line="360"/>
        <w:ind w:firstLine="709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spacing w:lineRule="auto" w:line="360"/>
        <w:ind w:firstLine="709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sz w:val="26"/>
          <w:szCs w:val="26"/>
        </w:rPr>
        <w:t>7) статью 30 Правил изложить в следующей редакции:</w:t>
      </w:r>
    </w:p>
    <w:p>
      <w:pPr>
        <w:pStyle w:val="Normal"/>
        <w:ind w:firstLine="851"/>
        <w:jc w:val="both"/>
        <w:rPr>
          <w:rFonts w:ascii="Times New Roman" w:hAnsi="Times New Roman" w:eastAsia="MS MinNew Roman"/>
          <w:bCs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«</w:t>
      </w:r>
      <w:r>
        <w:rPr>
          <w:rFonts w:ascii="Times New Roman" w:hAnsi="Times New Roman"/>
          <w:b/>
          <w:sz w:val="26"/>
          <w:szCs w:val="26"/>
        </w:rPr>
        <w:t>Статья 30. Предельные размеры земельных участков и предельные параметры разрешенного строительства, реконструкции объектов капитального строительства в производственных зонах, подзонах производственных зон и зонах инженерной и транспортной инфраструктур</w:t>
      </w:r>
    </w:p>
    <w:tbl>
      <w:tblPr>
        <w:tblW w:w="9923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92"/>
        <w:gridCol w:w="2885"/>
        <w:gridCol w:w="1198"/>
        <w:gridCol w:w="1320"/>
        <w:gridCol w:w="1276"/>
        <w:gridCol w:w="1276"/>
        <w:gridCol w:w="1275"/>
      </w:tblGrid>
      <w:tr>
        <w:trPr/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/>
                <w:b/>
                <w:bCs/>
              </w:rPr>
            </w:pPr>
            <w:r>
              <w:rPr>
                <w:rFonts w:eastAsia="Times New Roman" w:ascii="Times New Roman" w:hAnsi="Times New Roman"/>
                <w:b/>
              </w:rPr>
              <w:t xml:space="preserve">№ </w:t>
            </w:r>
            <w:r>
              <w:rPr>
                <w:rFonts w:eastAsia="Times New Roman" w:ascii="Times New Roman" w:hAnsi="Times New Roman"/>
                <w:b/>
              </w:rPr>
              <w:t>п/п</w:t>
            </w:r>
          </w:p>
        </w:tc>
        <w:tc>
          <w:tcPr>
            <w:tcW w:w="2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Times New Roman"/>
                <w:b/>
                <w:b/>
              </w:rPr>
            </w:pPr>
            <w:r>
              <w:rPr>
                <w:rFonts w:eastAsia="Times New Roman" w:ascii="Times New Roman" w:hAnsi="Times New Roman"/>
                <w:b/>
              </w:rPr>
              <w:t>Наименование</w:t>
            </w:r>
          </w:p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/>
                <w:b/>
                <w:bCs/>
              </w:rPr>
            </w:pPr>
            <w:r>
              <w:rPr>
                <w:rFonts w:eastAsia="Times New Roman" w:ascii="Times New Roman" w:hAnsi="Times New Roman"/>
                <w:b/>
              </w:rPr>
              <w:t>параметра</w:t>
            </w:r>
          </w:p>
        </w:tc>
        <w:tc>
          <w:tcPr>
            <w:tcW w:w="634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/>
                <w:b/>
                <w:bCs/>
              </w:rPr>
            </w:pPr>
            <w:r>
              <w:rPr>
                <w:rFonts w:eastAsia="Times New Roman" w:ascii="Times New Roman" w:hAnsi="Times New Roman"/>
                <w:b/>
              </w:rPr>
              <w:t xml:space="preserve">Значение предельных </w:t>
            </w:r>
            <w:r>
              <w:rPr>
                <w:rFonts w:ascii="Times New Roman" w:hAnsi="Times New Roman"/>
                <w:b/>
              </w:rPr>
              <w:t>размеров земельных участков и</w:t>
            </w:r>
            <w:r>
              <w:rPr>
                <w:rFonts w:eastAsia="Times New Roman" w:ascii="Times New Roman" w:hAnsi="Times New Roman"/>
                <w:b/>
              </w:rPr>
              <w:t xml:space="preserve"> предельных параметров разрешенного строительства, реконструкции объектов капитального строительства в территориальных зонах</w:t>
            </w:r>
          </w:p>
        </w:tc>
      </w:tr>
      <w:tr>
        <w:trPr/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360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</w:r>
          </w:p>
        </w:tc>
        <w:tc>
          <w:tcPr>
            <w:tcW w:w="2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>
                <w:rFonts w:ascii="Times New Roman" w:hAnsi="Times New Roman" w:eastAsia="MS MinNew Roman"/>
                <w:b/>
                <w:b/>
                <w:bCs/>
                <w:sz w:val="20"/>
                <w:szCs w:val="20"/>
              </w:rPr>
            </w:pPr>
            <w:r>
              <w:rPr>
                <w:rFonts w:eastAsia="MS MinNew Roman" w:ascii="Times New Roman" w:hAnsi="Times New Roman"/>
                <w:b/>
                <w:bCs/>
                <w:sz w:val="20"/>
                <w:szCs w:val="20"/>
              </w:rPr>
              <w:t>П1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>
                <w:rFonts w:ascii="Times New Roman" w:hAnsi="Times New Roman" w:eastAsia="MS MinNew Roman"/>
                <w:b/>
                <w:b/>
                <w:bCs/>
                <w:sz w:val="20"/>
                <w:szCs w:val="20"/>
              </w:rPr>
            </w:pPr>
            <w:r>
              <w:rPr>
                <w:rFonts w:eastAsia="MS MinNew Roman" w:ascii="Times New Roman" w:hAnsi="Times New Roman"/>
                <w:b/>
                <w:bCs/>
                <w:sz w:val="20"/>
                <w:szCs w:val="20"/>
              </w:rPr>
              <w:t>П1-4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>
                <w:rFonts w:ascii="Times New Roman" w:hAnsi="Times New Roman" w:eastAsia="MS MinNew Roman"/>
                <w:b/>
                <w:b/>
                <w:bCs/>
                <w:sz w:val="20"/>
                <w:szCs w:val="20"/>
              </w:rPr>
            </w:pPr>
            <w:r>
              <w:rPr>
                <w:rFonts w:eastAsia="MS MinNew Roman" w:ascii="Times New Roman" w:hAnsi="Times New Roman"/>
                <w:b/>
                <w:bCs/>
                <w:sz w:val="20"/>
                <w:szCs w:val="20"/>
              </w:rPr>
              <w:t>П1-5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>
                <w:rFonts w:ascii="Times New Roman" w:hAnsi="Times New Roman" w:eastAsia="MS MinNew Roman"/>
                <w:b/>
                <w:b/>
                <w:bCs/>
                <w:sz w:val="20"/>
                <w:szCs w:val="20"/>
              </w:rPr>
            </w:pPr>
            <w:r>
              <w:rPr>
                <w:rFonts w:eastAsia="MS MinNew Roman" w:ascii="Times New Roman" w:hAnsi="Times New Roman"/>
                <w:b/>
                <w:bCs/>
                <w:sz w:val="20"/>
                <w:szCs w:val="20"/>
              </w:rPr>
              <w:t>И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>
                <w:rFonts w:ascii="Times New Roman" w:hAnsi="Times New Roman" w:eastAsia="MS MinNew Roman"/>
                <w:b/>
                <w:b/>
                <w:bCs/>
                <w:sz w:val="20"/>
                <w:szCs w:val="20"/>
              </w:rPr>
            </w:pPr>
            <w:r>
              <w:rPr>
                <w:rFonts w:eastAsia="MS MinNew Roman" w:ascii="Times New Roman" w:hAnsi="Times New Roman"/>
                <w:b/>
                <w:bCs/>
                <w:sz w:val="20"/>
                <w:szCs w:val="20"/>
              </w:rPr>
              <w:t>ИТ</w:t>
            </w:r>
          </w:p>
        </w:tc>
      </w:tr>
      <w:tr>
        <w:trPr/>
        <w:tc>
          <w:tcPr>
            <w:tcW w:w="992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color w:val="000000"/>
              </w:rPr>
              <w:t>Предельные (минимальные и (или) максимальные) размеры земельных участков, в том числе их площадь</w:t>
            </w:r>
          </w:p>
        </w:tc>
      </w:tr>
      <w:tr>
        <w:trPr/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6"/>
              </w:numPr>
              <w:jc w:val="center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</w:r>
          </w:p>
        </w:tc>
        <w:tc>
          <w:tcPr>
            <w:tcW w:w="2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Times New Roman" w:ascii="Times New Roman" w:hAnsi="Times New Roman"/>
              </w:rPr>
              <w:t>Минимальная площадь земельного участка, кв.м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600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600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600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10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10</w:t>
            </w:r>
          </w:p>
        </w:tc>
      </w:tr>
      <w:tr>
        <w:trPr/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7"/>
              </w:numPr>
              <w:jc w:val="center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</w:r>
          </w:p>
        </w:tc>
        <w:tc>
          <w:tcPr>
            <w:tcW w:w="2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Times New Roman" w:ascii="Times New Roman" w:hAnsi="Times New Roman"/>
              </w:rPr>
              <w:t>Максимальная площадь земельного участка, кв.м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-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-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-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-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-</w:t>
            </w:r>
          </w:p>
        </w:tc>
      </w:tr>
      <w:tr>
        <w:trPr/>
        <w:tc>
          <w:tcPr>
            <w:tcW w:w="992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Times New Roman" w:ascii="Times New Roman" w:hAnsi="Times New Roman"/>
                <w:b/>
              </w:rPr>
              <w:t>Предельное количество этажей или предельная высота зданий, строений, сооружений</w:t>
            </w:r>
          </w:p>
        </w:tc>
      </w:tr>
      <w:tr>
        <w:trPr/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8"/>
              </w:numPr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</w:r>
          </w:p>
        </w:tc>
        <w:tc>
          <w:tcPr>
            <w:tcW w:w="2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Предельная высота зданий, строений, сооружений, м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30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</w:r>
          </w:p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30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</w:r>
          </w:p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30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25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25</w:t>
            </w:r>
          </w:p>
        </w:tc>
      </w:tr>
      <w:tr>
        <w:trPr/>
        <w:tc>
          <w:tcPr>
            <w:tcW w:w="992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Times New Roman" w:ascii="Times New Roman" w:hAnsi="Times New Roman"/>
                <w:b/>
              </w:rPr>
              <w:t xml:space="preserve">Минимальные отступы от границ земельных участков </w:t>
            </w:r>
            <w:r>
              <w:rPr>
                <w:rFonts w:ascii="Times New Roman" w:hAnsi="Times New Roman"/>
                <w:b/>
                <w:color w:val="000000"/>
              </w:rPr>
              <w:t>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</w:t>
            </w:r>
          </w:p>
        </w:tc>
      </w:tr>
      <w:tr>
        <w:trPr/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9"/>
              </w:numPr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</w:r>
          </w:p>
        </w:tc>
        <w:tc>
          <w:tcPr>
            <w:tcW w:w="2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Минимальный отступ от границ земельных участков до зданий, строений, сооружений, м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3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3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3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0</w:t>
            </w:r>
          </w:p>
        </w:tc>
      </w:tr>
      <w:tr>
        <w:trPr/>
        <w:tc>
          <w:tcPr>
            <w:tcW w:w="992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/>
                <w:b/>
                <w:bCs/>
              </w:rPr>
            </w:pPr>
            <w:r>
              <w:rPr>
                <w:rFonts w:eastAsia="Times New Roman" w:ascii="Times New Roman" w:hAnsi="Times New Roman"/>
                <w:b/>
              </w:rPr>
              <w:t xml:space="preserve">Максимальный процент застройки </w:t>
            </w:r>
            <w:r>
              <w:rPr>
                <w:rFonts w:ascii="Times New Roman" w:hAnsi="Times New Roman"/>
                <w:b/>
                <w:color w:val="000000"/>
              </w:rPr>
              <w:t xml:space="preserve"> в границах земельного участка, определяемый как отношение суммарной площади земельного участка, которая может быть застроена, ко всей площади земельного участка</w:t>
            </w:r>
          </w:p>
        </w:tc>
      </w:tr>
      <w:tr>
        <w:trPr/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50"/>
              </w:numPr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</w:r>
          </w:p>
        </w:tc>
        <w:tc>
          <w:tcPr>
            <w:tcW w:w="2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Максимальный процент застройки в границах земельного участка при размещении производственных объектов, %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80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80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80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-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-</w:t>
            </w:r>
          </w:p>
        </w:tc>
      </w:tr>
      <w:tr>
        <w:trPr/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51"/>
              </w:numPr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</w:r>
          </w:p>
        </w:tc>
        <w:tc>
          <w:tcPr>
            <w:tcW w:w="2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Максимальный процент застройки в границах земельного участка при размещении коммунально-складских объектов, %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60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60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60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60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60</w:t>
            </w:r>
          </w:p>
        </w:tc>
      </w:tr>
      <w:tr>
        <w:trPr>
          <w:trHeight w:val="2225" w:hRule="atLeast"/>
        </w:trPr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52"/>
              </w:numPr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</w:r>
          </w:p>
        </w:tc>
        <w:tc>
          <w:tcPr>
            <w:tcW w:w="2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Максимальный процент застройки в границах земельного участка при размещении иных объектов, за исключением случаев, указанных в пунктах настоящей таблицы, %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-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-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-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-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-</w:t>
            </w:r>
          </w:p>
        </w:tc>
      </w:tr>
      <w:tr>
        <w:trPr>
          <w:trHeight w:val="319" w:hRule="atLeast"/>
        </w:trPr>
        <w:tc>
          <w:tcPr>
            <w:tcW w:w="992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eastAsia="Times New Roman" w:ascii="Times New Roman" w:hAnsi="Times New Roman"/>
                <w:b/>
              </w:rPr>
              <w:t>Иные показатели</w:t>
            </w:r>
          </w:p>
        </w:tc>
      </w:tr>
      <w:tr>
        <w:trPr/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53"/>
              </w:numPr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</w:r>
          </w:p>
        </w:tc>
        <w:tc>
          <w:tcPr>
            <w:tcW w:w="2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Максимальный размер санитарно-защитной зоны, м</w:t>
            </w:r>
          </w:p>
          <w:p>
            <w:pPr>
              <w:pStyle w:val="Normal"/>
              <w:widowControl w:val="false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0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100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50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0</w:t>
            </w:r>
          </w:p>
        </w:tc>
      </w:tr>
      <w:tr>
        <w:trPr/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54"/>
              </w:numPr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</w:r>
          </w:p>
        </w:tc>
        <w:tc>
          <w:tcPr>
            <w:tcW w:w="2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Максимальная высота капитальных ограждений земельных участков, м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2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2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2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2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2</w:t>
            </w:r>
          </w:p>
        </w:tc>
      </w:tr>
    </w:tbl>
    <w:p>
      <w:pPr>
        <w:pStyle w:val="Normal"/>
        <w:ind w:firstLine="70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Примечание: В целях применения настоящей статьи знак «-» в столбце «Значение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зонах» означает, что данный параметр не подлежит установлению.»</w:t>
      </w:r>
    </w:p>
    <w:p>
      <w:pPr>
        <w:pStyle w:val="Normal"/>
        <w:numPr>
          <w:ilvl w:val="0"/>
          <w:numId w:val="0"/>
        </w:numPr>
        <w:spacing w:lineRule="auto" w:line="360" w:before="240" w:after="240"/>
        <w:ind w:left="0" w:firstLine="709"/>
        <w:jc w:val="both"/>
        <w:outlineLvl w:val="2"/>
        <w:rPr>
          <w:rFonts w:ascii="Times New Roman" w:hAnsi="Times New Roman"/>
          <w:i/>
          <w:i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8) статью 31 Правил изложить в следующей редакции:</w:t>
      </w:r>
    </w:p>
    <w:p>
      <w:pPr>
        <w:pStyle w:val="Normal"/>
        <w:numPr>
          <w:ilvl w:val="0"/>
          <w:numId w:val="0"/>
        </w:numPr>
        <w:spacing w:before="240" w:after="240"/>
        <w:ind w:left="0" w:firstLine="851"/>
        <w:jc w:val="both"/>
        <w:outlineLvl w:val="2"/>
        <w:rPr>
          <w:rFonts w:ascii="Times New Roman" w:hAnsi="Times New Roman"/>
          <w:i/>
          <w:i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«</w:t>
      </w:r>
      <w:r>
        <w:rPr>
          <w:rFonts w:ascii="Times New Roman" w:hAnsi="Times New Roman"/>
          <w:b/>
          <w:sz w:val="26"/>
          <w:szCs w:val="26"/>
        </w:rPr>
        <w:t>Статья 31. Предельные размеры земельных участков и предельные параметры разрешенного строительства, реконструкции объектов капитального строительства в зонах сельскохозяйственного использования</w:t>
      </w:r>
    </w:p>
    <w:tbl>
      <w:tblPr>
        <w:tblW w:w="10200" w:type="dxa"/>
        <w:jc w:val="left"/>
        <w:tblInd w:w="-17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6"/>
        <w:gridCol w:w="3259"/>
        <w:gridCol w:w="849"/>
        <w:gridCol w:w="852"/>
        <w:gridCol w:w="990"/>
        <w:gridCol w:w="993"/>
        <w:gridCol w:w="849"/>
        <w:gridCol w:w="994"/>
        <w:gridCol w:w="847"/>
      </w:tblGrid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360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Times New Roman" w:ascii="Times New Roman" w:hAnsi="Times New Roman"/>
                <w:b/>
                <w:kern w:val="2"/>
              </w:rPr>
              <w:t xml:space="preserve">№ </w:t>
            </w:r>
            <w:r>
              <w:rPr>
                <w:rFonts w:eastAsia="Times New Roman" w:ascii="Times New Roman" w:hAnsi="Times New Roman"/>
                <w:b/>
                <w:kern w:val="2"/>
              </w:rPr>
              <w:t>п/п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360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Times New Roman" w:ascii="Times New Roman" w:hAnsi="Times New Roman"/>
                <w:b/>
                <w:kern w:val="2"/>
              </w:rPr>
              <w:t>Наименование параметра</w:t>
            </w:r>
          </w:p>
        </w:tc>
        <w:tc>
          <w:tcPr>
            <w:tcW w:w="637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360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Times New Roman" w:ascii="Times New Roman" w:hAnsi="Times New Roman"/>
                <w:b/>
                <w:kern w:val="2"/>
              </w:rPr>
              <w:t xml:space="preserve">Значение предельных </w:t>
            </w:r>
            <w:r>
              <w:rPr>
                <w:rFonts w:eastAsia="Andale Sans UI" w:ascii="Times New Roman" w:hAnsi="Times New Roman"/>
                <w:b/>
                <w:kern w:val="2"/>
              </w:rPr>
              <w:t>размеров земельных участков и</w:t>
            </w:r>
            <w:r>
              <w:rPr>
                <w:rFonts w:eastAsia="Times New Roman" w:ascii="Times New Roman" w:hAnsi="Times New Roman"/>
                <w:b/>
                <w:kern w:val="2"/>
              </w:rPr>
              <w:t xml:space="preserve"> предельных параметров разрешенного строительства, реконструкции объектов капитального строительства в территориальных зонах</w:t>
            </w:r>
          </w:p>
        </w:tc>
      </w:tr>
      <w:tr>
        <w:trPr>
          <w:trHeight w:val="307" w:hRule="atLeast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napToGrid w:val="false"/>
              <w:spacing w:lineRule="auto" w:line="360"/>
              <w:jc w:val="both"/>
              <w:rPr>
                <w:rFonts w:ascii="Times New Roman" w:hAnsi="Times New Roman" w:eastAsia="MS MinNew Roman"/>
                <w:bCs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napToGrid w:val="false"/>
              <w:spacing w:lineRule="auto" w:line="360"/>
              <w:jc w:val="both"/>
              <w:rPr>
                <w:rFonts w:ascii="Times New Roman" w:hAnsi="Times New Roman" w:eastAsia="MS MinNew Roman"/>
                <w:bCs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360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/>
                <w:bCs/>
                <w:kern w:val="2"/>
              </w:rPr>
              <w:t>Сх1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360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/>
                <w:bCs/>
                <w:kern w:val="2"/>
              </w:rPr>
              <w:t>Сх2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360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/>
                <w:bCs/>
                <w:kern w:val="2"/>
              </w:rPr>
              <w:t>Сх2-4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360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/>
                <w:bCs/>
                <w:kern w:val="2"/>
              </w:rPr>
              <w:t>Сх2-5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360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/>
                <w:bCs/>
                <w:kern w:val="2"/>
              </w:rPr>
              <w:t>Сх3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360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/>
                <w:bCs/>
                <w:kern w:val="2"/>
              </w:rPr>
              <w:t>Сх4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360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/>
                <w:bCs/>
                <w:kern w:val="2"/>
              </w:rPr>
              <w:t>Сх5</w:t>
            </w:r>
          </w:p>
        </w:tc>
      </w:tr>
      <w:tr>
        <w:trPr/>
        <w:tc>
          <w:tcPr>
            <w:tcW w:w="10199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napToGrid w:val="false"/>
              <w:jc w:val="center"/>
              <w:rPr>
                <w:rFonts w:ascii="Times New Roman" w:hAnsi="Times New Roman" w:eastAsia="Andale Sans UI"/>
                <w:b/>
                <w:b/>
                <w:color w:val="000000"/>
                <w:kern w:val="2"/>
              </w:rPr>
            </w:pPr>
            <w:r>
              <w:rPr>
                <w:rFonts w:eastAsia="Andale Sans UI" w:ascii="Times New Roman" w:hAnsi="Times New Roman"/>
                <w:b/>
                <w:color w:val="000000"/>
                <w:kern w:val="2"/>
              </w:rPr>
              <w:t>Предельные (минимальные и (или) максимальные) размеры земельных участков, в том числе их площадь</w:t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55"/>
              </w:numPr>
              <w:tabs>
                <w:tab w:val="clear" w:pos="708"/>
                <w:tab w:val="left" w:pos="806" w:leader="none"/>
              </w:tabs>
              <w:suppressAutoHyphens w:val="true"/>
              <w:snapToGrid w:val="false"/>
              <w:spacing w:before="0" w:after="0"/>
              <w:ind w:left="0" w:hanging="0"/>
              <w:contextualSpacing/>
              <w:rPr>
                <w:rFonts w:ascii="Times New Roman" w:hAnsi="Times New Roman" w:eastAsia="MS MinNew Roman"/>
                <w:b/>
                <w:b/>
                <w:bCs/>
                <w:color w:val="000000"/>
                <w:kern w:val="2"/>
              </w:rPr>
            </w:pPr>
            <w:r>
              <w:rPr>
                <w:rFonts w:eastAsia="MS MinNew Roman" w:ascii="Times New Roman" w:hAnsi="Times New Roman"/>
                <w:b/>
                <w:bCs/>
                <w:color w:val="000000"/>
                <w:kern w:val="2"/>
              </w:rPr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jc w:val="both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Times New Roman" w:ascii="Times New Roman" w:hAnsi="Times New Roman"/>
                <w:kern w:val="2"/>
              </w:rPr>
              <w:t>Минимальная площадь земельного участка, кв.м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1000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1000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1000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1000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600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300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Andale Sans UI" w:ascii="Times New Roman" w:hAnsi="Times New Roman"/>
                <w:kern w:val="2"/>
              </w:rPr>
              <w:t>300</w:t>
            </w:r>
          </w:p>
        </w:tc>
      </w:tr>
      <w:tr>
        <w:trPr>
          <w:trHeight w:val="404" w:hRule="atLeast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56"/>
              </w:numPr>
              <w:suppressAutoHyphens w:val="true"/>
              <w:snapToGrid w:val="false"/>
              <w:spacing w:before="0" w:after="0"/>
              <w:contextualSpacing/>
              <w:jc w:val="both"/>
              <w:rPr>
                <w:rFonts w:ascii="Times New Roman" w:hAnsi="Times New Roman" w:eastAsia="MS MinNew Roman"/>
                <w:bCs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jc w:val="both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Times New Roman" w:ascii="Times New Roman" w:hAnsi="Times New Roman"/>
                <w:kern w:val="2"/>
              </w:rPr>
              <w:t>Максимальная площадь земельного участка, кв.м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20000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50000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kern w:val="2"/>
              </w:rPr>
              <w:t>200000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50000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3000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3000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3000</w:t>
            </w:r>
          </w:p>
        </w:tc>
      </w:tr>
      <w:tr>
        <w:trPr/>
        <w:tc>
          <w:tcPr>
            <w:tcW w:w="10199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napToGrid w:val="false"/>
              <w:jc w:val="center"/>
              <w:rPr>
                <w:rFonts w:ascii="Times New Roman" w:hAnsi="Times New Roman" w:eastAsia="Times New Roman"/>
                <w:b/>
                <w:b/>
                <w:kern w:val="2"/>
              </w:rPr>
            </w:pPr>
            <w:r>
              <w:rPr>
                <w:rFonts w:eastAsia="Times New Roman" w:ascii="Times New Roman" w:hAnsi="Times New Roman"/>
                <w:b/>
                <w:kern w:val="2"/>
              </w:rPr>
              <w:t>Предельное количество этажей или предельная высота зданий, строений, сооружений</w:t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57"/>
              </w:numPr>
              <w:suppressAutoHyphens w:val="true"/>
              <w:snapToGrid w:val="false"/>
              <w:spacing w:before="0" w:after="0"/>
              <w:contextualSpacing/>
              <w:jc w:val="both"/>
              <w:rPr>
                <w:rFonts w:ascii="Times New Roman" w:hAnsi="Times New Roman" w:eastAsia="MS MinNew Roman"/>
                <w:b/>
                <w:b/>
                <w:bCs/>
                <w:kern w:val="2"/>
              </w:rPr>
            </w:pPr>
            <w:r>
              <w:rPr>
                <w:rFonts w:eastAsia="MS MinNew Roman" w:ascii="Times New Roman" w:hAnsi="Times New Roman"/>
                <w:b/>
                <w:bCs/>
                <w:kern w:val="2"/>
              </w:rPr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jc w:val="both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Предельная высота зданий, строений, сооружений, м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0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20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20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20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10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10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10</w:t>
            </w:r>
          </w:p>
        </w:tc>
      </w:tr>
      <w:tr>
        <w:trPr/>
        <w:tc>
          <w:tcPr>
            <w:tcW w:w="10199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napToGrid w:val="fals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Times New Roman" w:ascii="Times New Roman" w:hAnsi="Times New Roman"/>
                <w:b/>
                <w:kern w:val="2"/>
              </w:rPr>
              <w:t xml:space="preserve">Минимальные отступы от границ земельных участков </w:t>
            </w:r>
            <w:r>
              <w:rPr>
                <w:rFonts w:eastAsia="Andale Sans UI" w:ascii="Times New Roman" w:hAnsi="Times New Roman"/>
                <w:b/>
                <w:color w:val="000000"/>
                <w:kern w:val="2"/>
              </w:rPr>
              <w:t>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</w:t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58"/>
              </w:numPr>
              <w:suppressAutoHyphens w:val="true"/>
              <w:snapToGrid w:val="false"/>
              <w:spacing w:before="0" w:after="0"/>
              <w:contextualSpacing/>
              <w:jc w:val="both"/>
              <w:rPr>
                <w:rFonts w:ascii="Times New Roman" w:hAnsi="Times New Roman" w:eastAsia="MS MinNew Roman"/>
                <w:b/>
                <w:b/>
                <w:bCs/>
                <w:kern w:val="2"/>
              </w:rPr>
            </w:pPr>
            <w:r>
              <w:rPr>
                <w:rFonts w:eastAsia="MS MinNew Roman" w:ascii="Times New Roman" w:hAnsi="Times New Roman"/>
                <w:b/>
                <w:bCs/>
                <w:kern w:val="2"/>
              </w:rPr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jc w:val="both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Минимальный отступ от границ земельных участков до зданий, строений, сооружений м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-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5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1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3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3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3</w:t>
            </w:r>
          </w:p>
        </w:tc>
      </w:tr>
      <w:tr>
        <w:trPr/>
        <w:tc>
          <w:tcPr>
            <w:tcW w:w="10199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napToGrid w:val="fals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Times New Roman" w:ascii="Times New Roman" w:hAnsi="Times New Roman"/>
                <w:b/>
                <w:kern w:val="2"/>
              </w:rPr>
              <w:t xml:space="preserve">Максимальный процент застройки </w:t>
            </w:r>
            <w:r>
              <w:rPr>
                <w:rFonts w:eastAsia="Andale Sans UI" w:ascii="Times New Roman" w:hAnsi="Times New Roman"/>
                <w:b/>
                <w:color w:val="000000"/>
                <w:kern w:val="2"/>
              </w:rPr>
              <w:t xml:space="preserve"> в границах земельного участка, определяемый как отношение суммарной площади земельного участка, которая может быть застроена, ко всей площади земельного участка</w:t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59"/>
              </w:numPr>
              <w:suppressAutoHyphens w:val="true"/>
              <w:snapToGrid w:val="false"/>
              <w:spacing w:before="0" w:after="0"/>
              <w:contextualSpacing/>
              <w:jc w:val="both"/>
              <w:rPr>
                <w:rFonts w:ascii="Times New Roman" w:hAnsi="Times New Roman" w:eastAsia="MS MinNew Roman"/>
                <w:b/>
                <w:b/>
                <w:bCs/>
                <w:kern w:val="2"/>
              </w:rPr>
            </w:pPr>
            <w:r>
              <w:rPr>
                <w:rFonts w:eastAsia="MS MinNew Roman" w:ascii="Times New Roman" w:hAnsi="Times New Roman"/>
                <w:b/>
                <w:bCs/>
                <w:kern w:val="2"/>
              </w:rPr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jc w:val="both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kern w:val="2"/>
              </w:rPr>
              <w:t>Максимальный процент застройки в границах земельного участка при застройке земельных участков для садоводства, %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0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-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-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-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40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40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40</w:t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60"/>
              </w:numPr>
              <w:suppressAutoHyphens w:val="true"/>
              <w:snapToGrid w:val="false"/>
              <w:spacing w:before="0" w:after="0"/>
              <w:contextualSpacing/>
              <w:jc w:val="both"/>
              <w:rPr>
                <w:rFonts w:ascii="Times New Roman" w:hAnsi="Times New Roman" w:eastAsia="MS MinNew Roman"/>
                <w:bCs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jc w:val="both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Максимальный процент застройки в границах земельного участка при размещении производственных объектов, %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0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80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80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80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-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-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-</w:t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61"/>
              </w:numPr>
              <w:suppressAutoHyphens w:val="true"/>
              <w:snapToGrid w:val="false"/>
              <w:spacing w:before="0" w:after="0"/>
              <w:contextualSpacing/>
              <w:jc w:val="both"/>
              <w:rPr>
                <w:rFonts w:ascii="Times New Roman" w:hAnsi="Times New Roman" w:eastAsia="MS MinNew Roman"/>
                <w:bCs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jc w:val="both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Максимальный процент застройки в границах земельного участка при размещении коммунально-складских объектов, %</w:t>
            </w:r>
          </w:p>
          <w:p>
            <w:pPr>
              <w:pStyle w:val="Normal"/>
              <w:widowControl w:val="false"/>
              <w:suppressAutoHyphens w:val="true"/>
              <w:jc w:val="both"/>
              <w:rPr>
                <w:rFonts w:ascii="Times New Roman" w:hAnsi="Times New Roman" w:eastAsia="MS MinNew Roman"/>
                <w:bCs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0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60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60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60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-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-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-</w:t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62"/>
              </w:numPr>
              <w:suppressAutoHyphens w:val="true"/>
              <w:snapToGrid w:val="false"/>
              <w:spacing w:before="0" w:after="0"/>
              <w:contextualSpacing/>
              <w:jc w:val="both"/>
              <w:rPr>
                <w:rFonts w:ascii="Times New Roman" w:hAnsi="Times New Roman" w:eastAsia="MS MinNew Roman"/>
                <w:bCs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jc w:val="both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Максимальный процент застройки в границах земельного участка при размещении иных объектов, за исключением случаев,  указанных в пунктах 5-7 настоящей таблицы, %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0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-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-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-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40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40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40</w:t>
            </w:r>
          </w:p>
        </w:tc>
      </w:tr>
      <w:tr>
        <w:trPr/>
        <w:tc>
          <w:tcPr>
            <w:tcW w:w="10199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napToGrid w:val="false"/>
              <w:jc w:val="center"/>
              <w:rPr>
                <w:rFonts w:ascii="Times New Roman" w:hAnsi="Times New Roman" w:eastAsia="Times New Roman"/>
                <w:b/>
                <w:b/>
                <w:kern w:val="2"/>
              </w:rPr>
            </w:pPr>
            <w:r>
              <w:rPr>
                <w:rFonts w:eastAsia="Times New Roman" w:ascii="Times New Roman" w:hAnsi="Times New Roman"/>
                <w:b/>
                <w:kern w:val="2"/>
              </w:rPr>
              <w:t>Иные показатели</w:t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63"/>
              </w:numPr>
              <w:suppressAutoHyphens w:val="true"/>
              <w:snapToGrid w:val="false"/>
              <w:spacing w:before="0" w:after="0"/>
              <w:contextualSpacing/>
              <w:rPr>
                <w:rFonts w:ascii="Times New Roman" w:hAnsi="Times New Roman" w:eastAsia="MS MinNew Roman"/>
                <w:bCs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jc w:val="both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Максимальный размер санитарно-защитной зоны, м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0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100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50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0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0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0</w:t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64"/>
              </w:numPr>
              <w:suppressAutoHyphens w:val="true"/>
              <w:snapToGrid w:val="false"/>
              <w:spacing w:before="0" w:after="0"/>
              <w:contextualSpacing/>
              <w:rPr>
                <w:rFonts w:ascii="Times New Roman" w:hAnsi="Times New Roman" w:eastAsia="MS MinNew Roman"/>
                <w:bCs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jc w:val="both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Максимальная высота капитальных ограждений земельных участков, м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0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2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2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1,5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1,5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jc w:val="center"/>
              <w:rPr>
                <w:rFonts w:ascii="Times New Roman" w:hAnsi="Times New Roman" w:eastAsia="Andale Sans UI"/>
                <w:kern w:val="2"/>
              </w:rPr>
            </w:pPr>
            <w:r>
              <w:rPr>
                <w:rFonts w:eastAsia="MS MinNew Roman" w:ascii="Times New Roman" w:hAnsi="Times New Roman"/>
                <w:bCs/>
                <w:kern w:val="2"/>
              </w:rPr>
              <w:t>1,5</w:t>
            </w:r>
          </w:p>
        </w:tc>
      </w:tr>
    </w:tbl>
    <w:p>
      <w:pPr>
        <w:pStyle w:val="Normal"/>
        <w:ind w:firstLine="70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Примечание: В целях применения настоящей статьи знак «-» в столбце «Значение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зонах» означает, что данный параметр не подлежит установлению.»</w:t>
      </w:r>
    </w:p>
    <w:p>
      <w:pPr>
        <w:pStyle w:val="Normal"/>
        <w:numPr>
          <w:ilvl w:val="0"/>
          <w:numId w:val="0"/>
        </w:numPr>
        <w:spacing w:lineRule="auto" w:line="360" w:before="240" w:after="240"/>
        <w:ind w:left="0" w:firstLine="709"/>
        <w:jc w:val="both"/>
        <w:outlineLvl w:val="2"/>
        <w:rPr>
          <w:rFonts w:ascii="Times New Roman" w:hAnsi="Times New Roman"/>
          <w:i/>
          <w:i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9) статью 32 Правил изложить в следующей редакции:</w:t>
      </w:r>
    </w:p>
    <w:p>
      <w:pPr>
        <w:pStyle w:val="Normal"/>
        <w:numPr>
          <w:ilvl w:val="0"/>
          <w:numId w:val="0"/>
        </w:numPr>
        <w:spacing w:before="240" w:after="240"/>
        <w:ind w:left="0" w:firstLine="851"/>
        <w:jc w:val="both"/>
        <w:outlineLvl w:val="2"/>
        <w:rPr>
          <w:rFonts w:ascii="Times New Roman" w:hAnsi="Times New Roman"/>
          <w:i/>
          <w:i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«</w:t>
      </w:r>
      <w:r>
        <w:rPr>
          <w:rFonts w:ascii="Times New Roman" w:hAnsi="Times New Roman"/>
          <w:b/>
          <w:sz w:val="26"/>
          <w:szCs w:val="26"/>
        </w:rPr>
        <w:t>Статья 32. Предельные размеры земельных участков и предельные параметры разрешенного строительства, реконструкции объектов капитального строительства в зонах рекреационного назначения</w:t>
      </w:r>
    </w:p>
    <w:tbl>
      <w:tblPr>
        <w:tblW w:w="993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709"/>
        <w:gridCol w:w="4871"/>
        <w:gridCol w:w="4350"/>
      </w:tblGrid>
      <w:tr>
        <w:trPr>
          <w:trHeight w:val="1154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 w:eastAsia="MS MinNew Roman"/>
                <w:bCs/>
              </w:rPr>
            </w:pPr>
            <w:r>
              <w:rPr>
                <w:rFonts w:ascii="Times New Roman" w:hAnsi="Times New Roman"/>
              </w:rPr>
              <w:t xml:space="preserve">№ </w:t>
            </w:r>
            <w:r>
              <w:rPr>
                <w:rFonts w:ascii="Times New Roman" w:hAnsi="Times New Roman"/>
              </w:rPr>
              <w:t>п/п</w:t>
            </w:r>
          </w:p>
        </w:tc>
        <w:tc>
          <w:tcPr>
            <w:tcW w:w="4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360"/>
              <w:jc w:val="center"/>
              <w:rPr>
                <w:rFonts w:ascii="Times New Roman" w:hAnsi="Times New Roman" w:eastAsia="MS MinNew Roman"/>
                <w:b/>
                <w:b/>
                <w:bCs/>
              </w:rPr>
            </w:pPr>
            <w:r>
              <w:rPr>
                <w:rFonts w:eastAsia="Times New Roman" w:ascii="Times New Roman" w:hAnsi="Times New Roman"/>
                <w:b/>
              </w:rPr>
              <w:t>Наименование параметра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/>
                <w:b/>
                <w:bCs/>
              </w:rPr>
            </w:pPr>
            <w:r>
              <w:rPr>
                <w:rFonts w:eastAsia="Times New Roman" w:ascii="Times New Roman" w:hAnsi="Times New Roman"/>
                <w:b/>
              </w:rPr>
              <w:t xml:space="preserve">Значение предельных </w:t>
            </w:r>
            <w:r>
              <w:rPr>
                <w:rFonts w:ascii="Times New Roman" w:hAnsi="Times New Roman"/>
                <w:b/>
              </w:rPr>
              <w:t>размеров земельных участков и</w:t>
            </w:r>
            <w:r>
              <w:rPr>
                <w:rFonts w:eastAsia="Times New Roman" w:ascii="Times New Roman" w:hAnsi="Times New Roman"/>
                <w:b/>
              </w:rPr>
              <w:t xml:space="preserve"> предельных параметров разрешенного строительства, реконструкции объектов капитального строительства в территориальных зонах</w:t>
            </w:r>
          </w:p>
        </w:tc>
      </w:tr>
      <w:tr>
        <w:trPr>
          <w:trHeight w:val="368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</w:r>
          </w:p>
        </w:tc>
        <w:tc>
          <w:tcPr>
            <w:tcW w:w="4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eastAsia="Times New Roman"/>
              </w:rPr>
            </w:pPr>
            <w:r>
              <w:rPr>
                <w:rFonts w:eastAsia="Times New Roman" w:ascii="Times New Roman" w:hAnsi="Times New Roman"/>
              </w:rPr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/>
                <w:b/>
              </w:rPr>
            </w:pPr>
            <w:r>
              <w:rPr>
                <w:rFonts w:eastAsia="MS MinNew Roman" w:ascii="Times New Roman" w:hAnsi="Times New Roman"/>
                <w:b/>
              </w:rPr>
              <w:t>Р2</w:t>
            </w:r>
          </w:p>
        </w:tc>
      </w:tr>
      <w:tr>
        <w:trPr>
          <w:trHeight w:val="368" w:hRule="atLeast"/>
        </w:trPr>
        <w:tc>
          <w:tcPr>
            <w:tcW w:w="993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ascii="Times New Roman" w:hAnsi="Times New Roman"/>
                <w:b/>
                <w:color w:val="000000"/>
              </w:rPr>
              <w:t>Предельные (минимальные и (или) максимальные) размеры земельных участков, в том числе их площадь</w:t>
            </w:r>
          </w:p>
        </w:tc>
      </w:tr>
      <w:tr>
        <w:trPr>
          <w:trHeight w:val="368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1</w:t>
            </w:r>
          </w:p>
        </w:tc>
        <w:tc>
          <w:tcPr>
            <w:tcW w:w="4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Times New Roman" w:ascii="Times New Roman" w:hAnsi="Times New Roman"/>
              </w:rPr>
              <w:t>Минимальная площадь земельного участка, кв.м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3000</w:t>
            </w:r>
          </w:p>
        </w:tc>
      </w:tr>
      <w:tr>
        <w:trPr>
          <w:trHeight w:val="368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2</w:t>
            </w:r>
          </w:p>
        </w:tc>
        <w:tc>
          <w:tcPr>
            <w:tcW w:w="4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Times New Roman" w:ascii="Times New Roman" w:hAnsi="Times New Roman"/>
              </w:rPr>
              <w:t>Максимальная площадь земельного участка, кв.м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-</w:t>
            </w:r>
          </w:p>
        </w:tc>
      </w:tr>
      <w:tr>
        <w:trPr>
          <w:trHeight w:val="368" w:hRule="atLeast"/>
        </w:trPr>
        <w:tc>
          <w:tcPr>
            <w:tcW w:w="993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/>
                <w:b/>
                <w:bCs/>
              </w:rPr>
            </w:pPr>
            <w:r>
              <w:rPr>
                <w:rFonts w:eastAsia="Times New Roman" w:ascii="Times New Roman" w:hAnsi="Times New Roman"/>
                <w:b/>
              </w:rPr>
              <w:t>Предельное количество этажей или предельная высота зданий, строений, сооружений</w:t>
            </w:r>
          </w:p>
        </w:tc>
      </w:tr>
      <w:tr>
        <w:trPr>
          <w:trHeight w:val="387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3</w:t>
            </w:r>
          </w:p>
        </w:tc>
        <w:tc>
          <w:tcPr>
            <w:tcW w:w="4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Предельная высота зданий, строений, сооружений, м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5</w:t>
            </w:r>
          </w:p>
        </w:tc>
      </w:tr>
      <w:tr>
        <w:trPr>
          <w:trHeight w:val="757" w:hRule="atLeast"/>
        </w:trPr>
        <w:tc>
          <w:tcPr>
            <w:tcW w:w="993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/>
                <w:b/>
                <w:bCs/>
              </w:rPr>
            </w:pPr>
            <w:r>
              <w:rPr>
                <w:rFonts w:eastAsia="Times New Roman" w:ascii="Times New Roman" w:hAnsi="Times New Roman"/>
                <w:b/>
              </w:rPr>
              <w:t xml:space="preserve">Минимальные отступы от границ земельных участков </w:t>
            </w:r>
            <w:r>
              <w:rPr>
                <w:rFonts w:ascii="Times New Roman" w:hAnsi="Times New Roman"/>
                <w:b/>
                <w:color w:val="000000"/>
              </w:rPr>
              <w:t>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</w:t>
            </w:r>
          </w:p>
        </w:tc>
      </w:tr>
      <w:tr>
        <w:trPr>
          <w:trHeight w:val="503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4</w:t>
            </w:r>
          </w:p>
        </w:tc>
        <w:tc>
          <w:tcPr>
            <w:tcW w:w="4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Минимальный отступ от границ земельных участков до зданий, строений, сооружений м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-</w:t>
            </w:r>
          </w:p>
        </w:tc>
      </w:tr>
      <w:tr>
        <w:trPr>
          <w:trHeight w:val="757" w:hRule="atLeast"/>
        </w:trPr>
        <w:tc>
          <w:tcPr>
            <w:tcW w:w="993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/>
                <w:b/>
                <w:bCs/>
              </w:rPr>
            </w:pPr>
            <w:r>
              <w:rPr>
                <w:rFonts w:eastAsia="Times New Roman" w:ascii="Times New Roman" w:hAnsi="Times New Roman"/>
                <w:b/>
              </w:rPr>
              <w:t xml:space="preserve">Максимальный процент застройки </w:t>
            </w:r>
            <w:r>
              <w:rPr>
                <w:rFonts w:ascii="Times New Roman" w:hAnsi="Times New Roman"/>
                <w:b/>
                <w:color w:val="000000"/>
              </w:rPr>
              <w:t>в границах земельного участка, определяемый как отношение суммарной площади земельного участка, которая может быть застроена, ко всей площади земельного участка</w:t>
            </w:r>
          </w:p>
        </w:tc>
      </w:tr>
      <w:tr>
        <w:trPr>
          <w:trHeight w:val="493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5</w:t>
            </w:r>
          </w:p>
        </w:tc>
        <w:tc>
          <w:tcPr>
            <w:tcW w:w="4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Максимальный процент застройки в границах земельного участка, %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5</w:t>
            </w:r>
          </w:p>
        </w:tc>
      </w:tr>
      <w:tr>
        <w:trPr>
          <w:trHeight w:val="368" w:hRule="atLeast"/>
        </w:trPr>
        <w:tc>
          <w:tcPr>
            <w:tcW w:w="993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/>
                <w:b/>
                <w:bCs/>
              </w:rPr>
            </w:pPr>
            <w:r>
              <w:rPr>
                <w:rFonts w:eastAsia="Times New Roman" w:ascii="Times New Roman" w:hAnsi="Times New Roman"/>
                <w:b/>
              </w:rPr>
              <w:t>Иные показатели</w:t>
            </w:r>
          </w:p>
        </w:tc>
      </w:tr>
      <w:tr>
        <w:trPr>
          <w:trHeight w:val="388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6</w:t>
            </w:r>
          </w:p>
        </w:tc>
        <w:tc>
          <w:tcPr>
            <w:tcW w:w="4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Максимальная площадь объектов физкультуры и спорта открытого типа, кв.м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-</w:t>
            </w:r>
          </w:p>
        </w:tc>
      </w:tr>
    </w:tbl>
    <w:p>
      <w:pPr>
        <w:pStyle w:val="Normal"/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Примечание: В целях применения настоящей статьи знак «-» в столбце «Значение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зонах» означает, что данный параметр не подлежит установлению.»</w:t>
      </w:r>
    </w:p>
    <w:p>
      <w:pPr>
        <w:pStyle w:val="Normal"/>
        <w:numPr>
          <w:ilvl w:val="0"/>
          <w:numId w:val="0"/>
        </w:numPr>
        <w:spacing w:lineRule="auto" w:line="360" w:before="240" w:after="240"/>
        <w:ind w:left="0" w:firstLine="709"/>
        <w:jc w:val="both"/>
        <w:outlineLvl w:val="2"/>
        <w:rPr>
          <w:rFonts w:ascii="Times New Roman" w:hAnsi="Times New Roman"/>
          <w:i/>
          <w:i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10) статью 32.1 Правил изложить в следующей редакции:</w:t>
      </w:r>
    </w:p>
    <w:p>
      <w:pPr>
        <w:pStyle w:val="Normal"/>
        <w:numPr>
          <w:ilvl w:val="0"/>
          <w:numId w:val="0"/>
        </w:numPr>
        <w:spacing w:before="240" w:after="240"/>
        <w:ind w:left="0" w:firstLine="851"/>
        <w:jc w:val="both"/>
        <w:outlineLvl w:val="2"/>
        <w:rPr>
          <w:rFonts w:ascii="Times New Roman" w:hAnsi="Times New Roman"/>
          <w:i/>
          <w:i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«</w:t>
      </w:r>
      <w:r>
        <w:rPr>
          <w:rFonts w:ascii="Times New Roman" w:hAnsi="Times New Roman"/>
          <w:b/>
          <w:sz w:val="26"/>
          <w:szCs w:val="26"/>
        </w:rPr>
        <w:t>Статья 32.1. Предельные размеры земельных участков и предельные параметры разрешенного строительства, реконструкции объектов капитального строительства в зонах специального назначения</w:t>
      </w:r>
    </w:p>
    <w:tbl>
      <w:tblPr>
        <w:tblW w:w="9923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78"/>
        <w:gridCol w:w="4808"/>
        <w:gridCol w:w="4437"/>
      </w:tblGrid>
      <w:tr>
        <w:trPr/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/>
                <w:b/>
                <w:bCs/>
              </w:rPr>
            </w:pPr>
            <w:r>
              <w:rPr>
                <w:rFonts w:eastAsia="Times New Roman" w:ascii="Times New Roman" w:hAnsi="Times New Roman"/>
                <w:b/>
              </w:rPr>
              <w:t xml:space="preserve">№ </w:t>
            </w:r>
            <w:r>
              <w:rPr>
                <w:rFonts w:eastAsia="Times New Roman" w:ascii="Times New Roman" w:hAnsi="Times New Roman"/>
                <w:b/>
              </w:rPr>
              <w:t>п/п</w:t>
            </w:r>
          </w:p>
        </w:tc>
        <w:tc>
          <w:tcPr>
            <w:tcW w:w="4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/>
                <w:b/>
                <w:bCs/>
              </w:rPr>
            </w:pPr>
            <w:r>
              <w:rPr>
                <w:rFonts w:eastAsia="Times New Roman" w:ascii="Times New Roman" w:hAnsi="Times New Roman"/>
                <w:b/>
              </w:rPr>
              <w:t>Наименование параметра</w:t>
            </w:r>
          </w:p>
        </w:tc>
        <w:tc>
          <w:tcPr>
            <w:tcW w:w="4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/>
                <w:b/>
                <w:bCs/>
              </w:rPr>
            </w:pPr>
            <w:r>
              <w:rPr>
                <w:rFonts w:eastAsia="Times New Roman" w:ascii="Times New Roman" w:hAnsi="Times New Roman"/>
                <w:b/>
              </w:rPr>
              <w:t xml:space="preserve">Значение предельных </w:t>
            </w:r>
            <w:r>
              <w:rPr>
                <w:rFonts w:ascii="Times New Roman" w:hAnsi="Times New Roman"/>
                <w:b/>
              </w:rPr>
              <w:t>размеров земельных участков и</w:t>
            </w:r>
            <w:r>
              <w:rPr>
                <w:rFonts w:eastAsia="Times New Roman" w:ascii="Times New Roman" w:hAnsi="Times New Roman"/>
                <w:b/>
              </w:rPr>
              <w:t xml:space="preserve"> предельных параметров разрешенного строительства, реконструкции объектов капитального строительства в территориальных зонах</w:t>
            </w:r>
          </w:p>
        </w:tc>
      </w:tr>
      <w:tr>
        <w:trPr/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360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</w:r>
          </w:p>
        </w:tc>
        <w:tc>
          <w:tcPr>
            <w:tcW w:w="4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360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</w:r>
          </w:p>
        </w:tc>
        <w:tc>
          <w:tcPr>
            <w:tcW w:w="4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360"/>
              <w:jc w:val="center"/>
              <w:rPr>
                <w:rFonts w:ascii="Times New Roman" w:hAnsi="Times New Roman" w:eastAsia="MS MinNew Roman"/>
                <w:b/>
                <w:b/>
                <w:bCs/>
              </w:rPr>
            </w:pPr>
            <w:r>
              <w:rPr>
                <w:rFonts w:eastAsia="MS MinNew Roman" w:ascii="Times New Roman" w:hAnsi="Times New Roman"/>
                <w:b/>
                <w:bCs/>
              </w:rPr>
              <w:t>Сп1</w:t>
            </w:r>
          </w:p>
        </w:tc>
      </w:tr>
      <w:tr>
        <w:trPr/>
        <w:tc>
          <w:tcPr>
            <w:tcW w:w="99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/>
                <w:b/>
                <w:bCs/>
              </w:rPr>
            </w:pPr>
            <w:r>
              <w:rPr>
                <w:rFonts w:ascii="Times New Roman" w:hAnsi="Times New Roman"/>
                <w:b/>
                <w:color w:val="000000"/>
              </w:rPr>
              <w:t>Предельные (минимальные и (или) максимальные) размеры земельных участков, в том числе их площадь</w:t>
            </w:r>
          </w:p>
        </w:tc>
      </w:tr>
      <w:tr>
        <w:trPr/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numPr>
                <w:ilvl w:val="0"/>
                <w:numId w:val="65"/>
              </w:numPr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</w:r>
          </w:p>
        </w:tc>
        <w:tc>
          <w:tcPr>
            <w:tcW w:w="4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Times New Roman" w:ascii="Times New Roman" w:hAnsi="Times New Roman"/>
              </w:rPr>
              <w:t>Минимальная площадь земельного участка, кв.м</w:t>
            </w:r>
          </w:p>
        </w:tc>
        <w:tc>
          <w:tcPr>
            <w:tcW w:w="4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-</w:t>
            </w:r>
          </w:p>
        </w:tc>
      </w:tr>
      <w:tr>
        <w:trPr/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numPr>
                <w:ilvl w:val="0"/>
                <w:numId w:val="66"/>
              </w:numPr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</w:r>
          </w:p>
        </w:tc>
        <w:tc>
          <w:tcPr>
            <w:tcW w:w="4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Times New Roman" w:ascii="Times New Roman" w:hAnsi="Times New Roman"/>
              </w:rPr>
              <w:t>Максимальная площадь земельного участка, кв.м</w:t>
            </w:r>
          </w:p>
        </w:tc>
        <w:tc>
          <w:tcPr>
            <w:tcW w:w="4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400000</w:t>
            </w:r>
          </w:p>
        </w:tc>
      </w:tr>
      <w:tr>
        <w:trPr/>
        <w:tc>
          <w:tcPr>
            <w:tcW w:w="99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/>
                <w:b/>
                <w:bCs/>
              </w:rPr>
            </w:pPr>
            <w:r>
              <w:rPr>
                <w:rFonts w:eastAsia="Times New Roman" w:ascii="Times New Roman" w:hAnsi="Times New Roman"/>
                <w:b/>
              </w:rPr>
              <w:t>Предельное количество этажей или предельная высота зданий, строений, сооружений</w:t>
            </w:r>
          </w:p>
        </w:tc>
      </w:tr>
      <w:tr>
        <w:trPr/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numPr>
                <w:ilvl w:val="0"/>
                <w:numId w:val="67"/>
              </w:numPr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</w:r>
          </w:p>
        </w:tc>
        <w:tc>
          <w:tcPr>
            <w:tcW w:w="4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Предельная высота зданий, строений, сооружений, м</w:t>
            </w:r>
          </w:p>
        </w:tc>
        <w:tc>
          <w:tcPr>
            <w:tcW w:w="4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10</w:t>
            </w:r>
          </w:p>
        </w:tc>
      </w:tr>
      <w:tr>
        <w:trPr/>
        <w:tc>
          <w:tcPr>
            <w:tcW w:w="99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/>
                <w:b/>
                <w:bCs/>
              </w:rPr>
            </w:pPr>
            <w:r>
              <w:rPr>
                <w:rFonts w:eastAsia="Times New Roman" w:ascii="Times New Roman" w:hAnsi="Times New Roman"/>
                <w:b/>
              </w:rPr>
              <w:t xml:space="preserve">Минимальные отступы от границ земельных участков </w:t>
            </w:r>
            <w:r>
              <w:rPr>
                <w:rFonts w:ascii="Times New Roman" w:hAnsi="Times New Roman"/>
                <w:b/>
                <w:color w:val="000000"/>
              </w:rPr>
              <w:t>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</w:t>
            </w:r>
          </w:p>
        </w:tc>
      </w:tr>
      <w:tr>
        <w:trPr/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numPr>
                <w:ilvl w:val="0"/>
                <w:numId w:val="68"/>
              </w:numPr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</w:r>
          </w:p>
        </w:tc>
        <w:tc>
          <w:tcPr>
            <w:tcW w:w="4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Минимальный отступ от границ земельных участков до зданий, строений, сооружений м</w:t>
            </w:r>
          </w:p>
        </w:tc>
        <w:tc>
          <w:tcPr>
            <w:tcW w:w="4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3</w:t>
            </w:r>
          </w:p>
        </w:tc>
      </w:tr>
      <w:tr>
        <w:trPr/>
        <w:tc>
          <w:tcPr>
            <w:tcW w:w="99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/>
                <w:b/>
                <w:bCs/>
              </w:rPr>
            </w:pPr>
            <w:r>
              <w:rPr>
                <w:rFonts w:eastAsia="Times New Roman" w:ascii="Times New Roman" w:hAnsi="Times New Roman"/>
                <w:b/>
              </w:rPr>
              <w:t xml:space="preserve">Максимальный процент застройки </w:t>
            </w:r>
            <w:r>
              <w:rPr>
                <w:rFonts w:ascii="Times New Roman" w:hAnsi="Times New Roman"/>
                <w:b/>
                <w:color w:val="000000"/>
              </w:rPr>
              <w:t xml:space="preserve"> в границах земельного участка, определяемый как отношение суммарной площади земельного участка, которая может быть застроена, ко всей площади земельного участка</w:t>
            </w:r>
          </w:p>
        </w:tc>
      </w:tr>
      <w:tr>
        <w:trPr/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numPr>
                <w:ilvl w:val="0"/>
                <w:numId w:val="69"/>
              </w:numPr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</w:r>
          </w:p>
        </w:tc>
        <w:tc>
          <w:tcPr>
            <w:tcW w:w="4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Максимальный процент застройки в границах земельного участка, %</w:t>
            </w:r>
          </w:p>
        </w:tc>
        <w:tc>
          <w:tcPr>
            <w:tcW w:w="4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-</w:t>
            </w:r>
          </w:p>
        </w:tc>
      </w:tr>
      <w:tr>
        <w:trPr/>
        <w:tc>
          <w:tcPr>
            <w:tcW w:w="99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/>
                <w:b/>
                <w:bCs/>
              </w:rPr>
            </w:pPr>
            <w:r>
              <w:rPr>
                <w:rFonts w:eastAsia="Times New Roman" w:ascii="Times New Roman" w:hAnsi="Times New Roman"/>
                <w:b/>
              </w:rPr>
              <w:t>Иные показатели</w:t>
            </w:r>
          </w:p>
        </w:tc>
      </w:tr>
      <w:tr>
        <w:trPr/>
        <w:tc>
          <w:tcPr>
            <w:tcW w:w="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numPr>
                <w:ilvl w:val="0"/>
                <w:numId w:val="70"/>
              </w:numPr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</w:r>
          </w:p>
        </w:tc>
        <w:tc>
          <w:tcPr>
            <w:tcW w:w="4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Максимальный размер санитарно-защитной зоны, м</w:t>
            </w:r>
          </w:p>
        </w:tc>
        <w:tc>
          <w:tcPr>
            <w:tcW w:w="4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MS MinNew Roman"/>
                <w:bCs/>
              </w:rPr>
            </w:pPr>
            <w:r>
              <w:rPr>
                <w:rFonts w:eastAsia="MS MinNew Roman" w:ascii="Times New Roman" w:hAnsi="Times New Roman"/>
                <w:bCs/>
              </w:rPr>
              <w:t>100</w:t>
            </w:r>
          </w:p>
        </w:tc>
      </w:tr>
    </w:tbl>
    <w:p>
      <w:pPr>
        <w:pStyle w:val="Normal"/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Примечание: В целях применения настоящей статьи знак «-» в столбце «Значение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зонах» означает, что данный параметр не подлежит установлению.»</w:t>
      </w:r>
    </w:p>
    <w:p>
      <w:pPr>
        <w:pStyle w:val="Normal"/>
        <w:spacing w:lineRule="auto" w:line="360"/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spacing w:lineRule="auto" w:line="360"/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2. карты градостроительного зонирования сельского поселения Выселки муниципального района Ставропольский Самарской области изложить в редакции согласно Приложения 1,2 к настоящему решению.</w:t>
      </w:r>
    </w:p>
    <w:p>
      <w:pPr>
        <w:pStyle w:val="Normal"/>
        <w:spacing w:lineRule="auto" w:line="360"/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3. Опубликовать настоящее решение в течение десяти дней со дня издания.</w:t>
      </w:r>
    </w:p>
    <w:p>
      <w:pPr>
        <w:pStyle w:val="Normal"/>
        <w:spacing w:lineRule="auto" w:line="360"/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4. Настоящее решение вступает в силу на следующий день после его официального опубликования. </w:t>
      </w:r>
    </w:p>
    <w:p>
      <w:pPr>
        <w:pStyle w:val="Normal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Председатель Собрания представителей</w:t>
      </w:r>
    </w:p>
    <w:p>
      <w:pPr>
        <w:pStyle w:val="Normal"/>
        <w:jc w:val="both"/>
        <w:rPr>
          <w:rFonts w:ascii="Times New Roman" w:hAnsi="Times New Roman"/>
          <w:bCs/>
          <w:color w:val="000000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сельского </w:t>
      </w:r>
      <w:r>
        <w:rPr>
          <w:rFonts w:ascii="Times New Roman" w:hAnsi="Times New Roman"/>
          <w:bCs/>
          <w:sz w:val="26"/>
          <w:szCs w:val="26"/>
        </w:rPr>
        <w:t>поселения Выселки</w:t>
      </w:r>
    </w:p>
    <w:p>
      <w:pPr>
        <w:pStyle w:val="Normal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bCs/>
          <w:color w:val="000000"/>
          <w:sz w:val="26"/>
          <w:szCs w:val="26"/>
        </w:rPr>
        <w:t xml:space="preserve">муниципального района </w:t>
      </w:r>
      <w:r>
        <w:rPr>
          <w:rFonts w:ascii="Times New Roman" w:hAnsi="Times New Roman"/>
          <w:sz w:val="26"/>
          <w:szCs w:val="26"/>
        </w:rPr>
        <w:t xml:space="preserve">Ставропольский                                   </w:t>
      </w:r>
    </w:p>
    <w:p>
      <w:pPr>
        <w:pStyle w:val="Normal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Самарской </w:t>
      </w:r>
      <w:r>
        <w:rPr>
          <w:rFonts w:ascii="Times New Roman" w:hAnsi="Times New Roman"/>
        </w:rPr>
        <w:t>области                                                                                                   Ч.М.Дишина</w:t>
      </w:r>
      <w:r>
        <w:rPr>
          <w:rFonts w:ascii="Times New Roman" w:hAnsi="Times New Roman"/>
          <w:sz w:val="26"/>
          <w:szCs w:val="26"/>
        </w:rPr>
        <w:t xml:space="preserve">            </w:t>
      </w:r>
    </w:p>
    <w:p>
      <w:pPr>
        <w:pStyle w:val="Normal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jc w:val="both"/>
        <w:rPr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Глава сельского </w:t>
      </w:r>
      <w:r>
        <w:rPr>
          <w:rFonts w:ascii="Times New Roman" w:hAnsi="Times New Roman"/>
          <w:bCs/>
          <w:sz w:val="26"/>
          <w:szCs w:val="26"/>
        </w:rPr>
        <w:t>поселения Выселки</w:t>
      </w:r>
    </w:p>
    <w:p>
      <w:pPr>
        <w:pStyle w:val="Normal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bCs/>
          <w:sz w:val="26"/>
          <w:szCs w:val="26"/>
        </w:rPr>
        <w:t>муниципального района Ставропольский</w:t>
      </w:r>
      <w:r>
        <w:rPr>
          <w:rFonts w:ascii="Times New Roman" w:hAnsi="Times New Roman"/>
          <w:sz w:val="26"/>
          <w:szCs w:val="26"/>
        </w:rPr>
        <w:t xml:space="preserve">                                   </w:t>
      </w:r>
    </w:p>
    <w:p>
      <w:pPr>
        <w:pStyle w:val="Normal"/>
        <w:jc w:val="both"/>
        <w:rPr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Самарской области                                                                                      З.Г. Мердеев</w:t>
      </w:r>
    </w:p>
    <w:p>
      <w:pPr>
        <w:pStyle w:val="Normal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  <w:r>
        <w:br w:type="page"/>
      </w:r>
    </w:p>
    <w:p>
      <w:pPr>
        <w:pStyle w:val="ConsPlusNormal"/>
        <w:numPr>
          <w:ilvl w:val="0"/>
          <w:numId w:val="0"/>
        </w:numPr>
        <w:ind w:left="4956" w:hanging="0"/>
        <w:jc w:val="center"/>
        <w:outlineLvl w:val="0"/>
        <w:rPr>
          <w:sz w:val="20"/>
          <w:szCs w:val="24"/>
        </w:rPr>
      </w:pPr>
      <w:r>
        <w:rPr>
          <w:sz w:val="20"/>
          <w:szCs w:val="24"/>
        </w:rPr>
      </w:r>
    </w:p>
    <w:p>
      <w:pPr>
        <w:pStyle w:val="ConsPlusNormal"/>
        <w:numPr>
          <w:ilvl w:val="0"/>
          <w:numId w:val="0"/>
        </w:numPr>
        <w:ind w:left="4956" w:hanging="0"/>
        <w:jc w:val="center"/>
        <w:outlineLvl w:val="0"/>
        <w:rPr/>
      </w:pPr>
      <w:r>
        <w:rPr>
          <w:color w:val="FF0000"/>
          <w:sz w:val="20"/>
        </w:rPr>
        <w:t>Приложение  №1  к Решению</w:t>
      </w:r>
    </w:p>
    <w:p>
      <w:pPr>
        <w:pStyle w:val="ConsPlusNormal"/>
        <w:ind w:left="4956" w:hanging="0"/>
        <w:jc w:val="center"/>
        <w:rPr>
          <w:rFonts w:ascii="Times New Roman" w:hAnsi="Times New Roman"/>
        </w:rPr>
      </w:pPr>
      <w:r>
        <w:rPr>
          <w:color w:val="FF0000"/>
          <w:sz w:val="20"/>
        </w:rPr>
        <w:t xml:space="preserve">Собрания представителей сельского </w:t>
      </w:r>
      <w:r>
        <w:rPr>
          <w:color w:val="FF0000"/>
          <w:sz w:val="20"/>
        </w:rPr>
        <w:t>поселения Выселки</w:t>
      </w:r>
      <w:r>
        <w:rPr>
          <w:color w:val="FF0000"/>
          <w:sz w:val="20"/>
        </w:rPr>
        <w:t xml:space="preserve"> г</w:t>
      </w:r>
    </w:p>
    <w:p>
      <w:pPr>
        <w:pStyle w:val="ConsPlusNormal"/>
        <w:ind w:left="4956" w:hanging="0"/>
        <w:jc w:val="center"/>
        <w:rPr>
          <w:rFonts w:ascii="Times New Roman" w:hAnsi="Times New Roman"/>
        </w:rPr>
      </w:pPr>
      <w:r>
        <w:rPr/>
      </w:r>
    </w:p>
    <w:p>
      <w:pPr>
        <w:pStyle w:val="ConsPlusNormal"/>
        <w:ind w:left="4956" w:hanging="0"/>
        <w:jc w:val="center"/>
        <w:rPr>
          <w:rFonts w:ascii="Times New Roman" w:hAnsi="Times New Roman"/>
        </w:rPr>
      </w:pPr>
      <w:r>
        <w:rPr/>
        <w:drawing>
          <wp:anchor behindDoc="0" distT="0" distB="0" distL="0" distR="0" simplePos="0" locked="0" layoutInCell="0" allowOverlap="1" relativeHeight="3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5848985" cy="5715635"/>
            <wp:effectExtent l="0" t="0" r="0" b="0"/>
            <wp:wrapSquare wrapText="largest"/>
            <wp:docPr id="2" name="Изображение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Изображение1" descr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8985" cy="57156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ConsPlusNormal"/>
        <w:widowControl w:val="false"/>
        <w:bidi w:val="0"/>
        <w:spacing w:before="0" w:after="0"/>
        <w:ind w:left="0" w:right="0" w:hanging="0"/>
        <w:jc w:val="both"/>
        <w:rPr/>
      </w:pPr>
      <w:r>
        <w:rPr/>
      </w:r>
    </w:p>
    <w:p>
      <w:pPr>
        <w:pStyle w:val="ConsPlusNormal"/>
        <w:ind w:left="4956" w:hanging="0"/>
        <w:jc w:val="center"/>
        <w:rPr>
          <w:rFonts w:ascii="Times New Roman" w:hAnsi="Times New Roman"/>
        </w:rPr>
      </w:pPr>
      <w:r>
        <w:rPr/>
      </w:r>
    </w:p>
    <w:p>
      <w:pPr>
        <w:pStyle w:val="ConsPlusNormal"/>
        <w:ind w:left="4956" w:hanging="0"/>
        <w:jc w:val="center"/>
        <w:rPr>
          <w:rFonts w:ascii="Times New Roman" w:hAnsi="Times New Roman"/>
        </w:rPr>
      </w:pPr>
      <w:r>
        <w:rPr/>
      </w:r>
    </w:p>
    <w:p>
      <w:pPr>
        <w:pStyle w:val="ConsPlusNormal"/>
        <w:ind w:left="4956" w:hanging="0"/>
        <w:jc w:val="center"/>
        <w:rPr>
          <w:rFonts w:ascii="Times New Roman" w:hAnsi="Times New Roman"/>
        </w:rPr>
      </w:pPr>
      <w:r>
        <w:rPr/>
      </w:r>
    </w:p>
    <w:p>
      <w:pPr>
        <w:pStyle w:val="ConsPlusNormal"/>
        <w:ind w:left="4956" w:hanging="0"/>
        <w:jc w:val="center"/>
        <w:rPr>
          <w:rFonts w:ascii="Times New Roman" w:hAnsi="Times New Roman"/>
        </w:rPr>
      </w:pPr>
      <w:r>
        <w:rPr/>
      </w:r>
    </w:p>
    <w:p>
      <w:pPr>
        <w:pStyle w:val="ConsPlusNormal"/>
        <w:ind w:left="4956" w:hanging="0"/>
        <w:jc w:val="center"/>
        <w:rPr>
          <w:rFonts w:ascii="Times New Roman" w:hAnsi="Times New Roman"/>
        </w:rPr>
      </w:pPr>
      <w:r>
        <w:rPr/>
      </w:r>
    </w:p>
    <w:p>
      <w:pPr>
        <w:pStyle w:val="ConsPlusNormal"/>
        <w:ind w:left="4956" w:hanging="0"/>
        <w:jc w:val="center"/>
        <w:rPr>
          <w:rFonts w:ascii="Times New Roman" w:hAnsi="Times New Roman"/>
        </w:rPr>
      </w:pPr>
      <w:r>
        <w:rPr/>
      </w:r>
    </w:p>
    <w:p>
      <w:pPr>
        <w:pStyle w:val="ConsPlusNormal"/>
        <w:ind w:left="4956" w:hanging="0"/>
        <w:jc w:val="center"/>
        <w:rPr>
          <w:rFonts w:ascii="Times New Roman" w:hAnsi="Times New Roman"/>
        </w:rPr>
      </w:pPr>
      <w:r>
        <w:rPr/>
      </w:r>
    </w:p>
    <w:p>
      <w:pPr>
        <w:pStyle w:val="ConsPlusNormal"/>
        <w:ind w:left="4956" w:hanging="0"/>
        <w:jc w:val="center"/>
        <w:rPr>
          <w:rFonts w:ascii="Times New Roman" w:hAnsi="Times New Roman"/>
        </w:rPr>
      </w:pPr>
      <w:r>
        <w:rPr/>
      </w:r>
    </w:p>
    <w:p>
      <w:pPr>
        <w:pStyle w:val="ConsPlusNormal"/>
        <w:ind w:left="4956" w:hanging="0"/>
        <w:jc w:val="center"/>
        <w:rPr>
          <w:rFonts w:ascii="Times New Roman" w:hAnsi="Times New Roman"/>
        </w:rPr>
      </w:pPr>
      <w:r>
        <w:rPr/>
      </w:r>
    </w:p>
    <w:p>
      <w:pPr>
        <w:pStyle w:val="ConsPlusNormal"/>
        <w:ind w:left="4956" w:hanging="0"/>
        <w:jc w:val="center"/>
        <w:rPr>
          <w:rFonts w:ascii="Times New Roman" w:hAnsi="Times New Roman"/>
        </w:rPr>
      </w:pPr>
      <w:r>
        <w:rPr/>
      </w:r>
    </w:p>
    <w:p>
      <w:pPr>
        <w:pStyle w:val="ConsPlusNormal"/>
        <w:ind w:left="4956" w:hanging="0"/>
        <w:jc w:val="center"/>
        <w:rPr>
          <w:rFonts w:ascii="Times New Roman" w:hAnsi="Times New Roman"/>
        </w:rPr>
      </w:pPr>
      <w:r>
        <w:rPr/>
      </w:r>
    </w:p>
    <w:p>
      <w:pPr>
        <w:pStyle w:val="ConsPlusNormal"/>
        <w:ind w:left="4956" w:hanging="0"/>
        <w:jc w:val="center"/>
        <w:rPr>
          <w:rFonts w:ascii="Times New Roman" w:hAnsi="Times New Roman"/>
        </w:rPr>
      </w:pPr>
      <w:r>
        <w:rPr/>
      </w:r>
    </w:p>
    <w:p>
      <w:pPr>
        <w:pStyle w:val="ConsPlusNormal"/>
        <w:ind w:left="4956" w:hanging="0"/>
        <w:jc w:val="center"/>
        <w:rPr>
          <w:rFonts w:ascii="Times New Roman" w:hAnsi="Times New Roman"/>
        </w:rPr>
      </w:pPr>
      <w:r>
        <w:rPr/>
      </w:r>
    </w:p>
    <w:p>
      <w:pPr>
        <w:pStyle w:val="ConsPlusNormal"/>
        <w:ind w:left="4956" w:hanging="0"/>
        <w:jc w:val="center"/>
        <w:rPr>
          <w:rFonts w:ascii="Times New Roman" w:hAnsi="Times New Roman"/>
        </w:rPr>
      </w:pPr>
      <w:r>
        <w:rPr/>
      </w:r>
    </w:p>
    <w:p>
      <w:pPr>
        <w:pStyle w:val="ConsPlusNormal"/>
        <w:ind w:left="4956" w:hanging="0"/>
        <w:jc w:val="center"/>
        <w:rPr>
          <w:rFonts w:ascii="Times New Roman" w:hAnsi="Times New Roman"/>
        </w:rPr>
      </w:pPr>
      <w:r>
        <w:rPr/>
      </w:r>
    </w:p>
    <w:p>
      <w:pPr>
        <w:pStyle w:val="ConsPlusNormal"/>
        <w:ind w:left="4956" w:hanging="0"/>
        <w:jc w:val="center"/>
        <w:rPr>
          <w:rFonts w:ascii="Times New Roman" w:hAnsi="Times New Roman"/>
        </w:rPr>
      </w:pPr>
      <w:r>
        <w:rPr/>
      </w:r>
    </w:p>
    <w:p>
      <w:pPr>
        <w:pStyle w:val="ConsPlusNormal"/>
        <w:numPr>
          <w:ilvl w:val="0"/>
          <w:numId w:val="0"/>
        </w:numPr>
        <w:ind w:left="4956" w:hanging="0"/>
        <w:jc w:val="center"/>
        <w:outlineLvl w:val="0"/>
        <w:rPr/>
      </w:pPr>
      <w:r>
        <w:rPr>
          <w:color w:val="FF0000"/>
          <w:sz w:val="20"/>
        </w:rPr>
        <w:t>Приложение  №2  к Решению</w:t>
      </w:r>
    </w:p>
    <w:p>
      <w:pPr>
        <w:pStyle w:val="ConsPlusNormal"/>
        <w:ind w:left="4956" w:hanging="0"/>
        <w:jc w:val="center"/>
        <w:rPr>
          <w:rFonts w:ascii="Times New Roman" w:hAnsi="Times New Roman"/>
        </w:rPr>
      </w:pPr>
      <w:r>
        <w:rPr>
          <w:color w:val="FF0000"/>
          <w:sz w:val="20"/>
        </w:rPr>
        <w:t>Собрания представителей сельского поселения Выселки  №</w:t>
      </w:r>
    </w:p>
    <w:p>
      <w:pPr>
        <w:pStyle w:val="ConsPlusNormal"/>
        <w:ind w:left="4956" w:hanging="0"/>
        <w:jc w:val="center"/>
        <w:rPr>
          <w:rFonts w:ascii="Times New Roman" w:hAnsi="Times New Roman"/>
        </w:rPr>
      </w:pPr>
      <w:r>
        <w:rPr/>
        <w:drawing>
          <wp:anchor behindDoc="0" distT="0" distB="0" distL="0" distR="0" simplePos="0" locked="0" layoutInCell="0" allowOverlap="1" relativeHeight="4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5936615" cy="6156325"/>
            <wp:effectExtent l="0" t="0" r="0" b="0"/>
            <wp:wrapSquare wrapText="largest"/>
            <wp:docPr id="3" name="Изображение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Изображение2" descr="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6615" cy="61563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ConsPlusNormal"/>
        <w:ind w:left="4956" w:hanging="0"/>
        <w:jc w:val="center"/>
        <w:rPr>
          <w:rFonts w:ascii="Times New Roman" w:hAnsi="Times New Roman"/>
        </w:rPr>
      </w:pPr>
      <w:r>
        <w:rPr/>
      </w:r>
    </w:p>
    <w:p>
      <w:pPr>
        <w:pStyle w:val="ConsPlusNormal"/>
        <w:ind w:left="4956" w:hanging="0"/>
        <w:jc w:val="center"/>
        <w:rPr>
          <w:rFonts w:ascii="Times New Roman" w:hAnsi="Times New Roman"/>
        </w:rPr>
      </w:pPr>
      <w:r>
        <w:rPr/>
      </w:r>
    </w:p>
    <w:p>
      <w:pPr>
        <w:pStyle w:val="ConsPlusNormal"/>
        <w:ind w:left="4956" w:hanging="0"/>
        <w:jc w:val="center"/>
        <w:rPr>
          <w:rFonts w:ascii="Times New Roman" w:hAnsi="Times New Roman"/>
        </w:rPr>
      </w:pPr>
      <w:r>
        <w:rPr/>
      </w:r>
    </w:p>
    <w:p>
      <w:pPr>
        <w:pStyle w:val="ConsPlusNormal"/>
        <w:ind w:left="4956" w:hanging="0"/>
        <w:jc w:val="center"/>
        <w:rPr>
          <w:rFonts w:ascii="Times New Roman" w:hAnsi="Times New Roman"/>
        </w:rPr>
      </w:pPr>
      <w:r>
        <w:rPr/>
      </w:r>
    </w:p>
    <w:p>
      <w:pPr>
        <w:pStyle w:val="ConsPlusNormal"/>
        <w:ind w:left="4956" w:hanging="0"/>
        <w:jc w:val="center"/>
        <w:rPr>
          <w:rFonts w:ascii="Times New Roman" w:hAnsi="Times New Roman"/>
        </w:rPr>
      </w:pPr>
      <w:r>
        <w:rPr/>
      </w:r>
    </w:p>
    <w:p>
      <w:pPr>
        <w:pStyle w:val="ConsPlusNormal"/>
        <w:ind w:left="4956" w:hanging="0"/>
        <w:jc w:val="center"/>
        <w:rPr>
          <w:rFonts w:ascii="Times New Roman" w:hAnsi="Times New Roman"/>
        </w:rPr>
      </w:pPr>
      <w:r>
        <w:rPr/>
      </w:r>
    </w:p>
    <w:p>
      <w:pPr>
        <w:pStyle w:val="ConsPlusNormal"/>
        <w:ind w:left="4956" w:hanging="0"/>
        <w:jc w:val="center"/>
        <w:rPr>
          <w:rFonts w:ascii="Times New Roman" w:hAnsi="Times New Roman"/>
        </w:rPr>
      </w:pPr>
      <w:r>
        <w:rPr/>
      </w:r>
    </w:p>
    <w:p>
      <w:pPr>
        <w:pStyle w:val="ConsPlusNormal"/>
        <w:ind w:left="4956" w:hanging="0"/>
        <w:jc w:val="center"/>
        <w:rPr>
          <w:rFonts w:ascii="Times New Roman" w:hAnsi="Times New Roman"/>
        </w:rPr>
      </w:pPr>
      <w:r>
        <w:rPr/>
      </w:r>
    </w:p>
    <w:p>
      <w:pPr>
        <w:pStyle w:val="ConsPlusNormal"/>
        <w:ind w:left="4956" w:hanging="0"/>
        <w:jc w:val="center"/>
        <w:rPr>
          <w:rFonts w:ascii="Times New Roman" w:hAnsi="Times New Roman"/>
        </w:rPr>
      </w:pPr>
      <w:r>
        <w:rPr/>
      </w:r>
    </w:p>
    <w:p>
      <w:pPr>
        <w:pStyle w:val="ConsPlusNormal"/>
        <w:ind w:left="4956" w:hanging="0"/>
        <w:jc w:val="center"/>
        <w:rPr>
          <w:rFonts w:ascii="Times New Roman" w:hAnsi="Times New Roman"/>
        </w:rPr>
      </w:pPr>
      <w:r>
        <w:rPr/>
      </w:r>
    </w:p>
    <w:p>
      <w:pPr>
        <w:pStyle w:val="ConsPlusNormal"/>
        <w:ind w:left="4956" w:hanging="0"/>
        <w:jc w:val="center"/>
        <w:rPr>
          <w:rFonts w:ascii="Times New Roman" w:hAnsi="Times New Roman"/>
        </w:rPr>
      </w:pPr>
      <w:r>
        <w:rPr/>
      </w:r>
    </w:p>
    <w:p>
      <w:pPr>
        <w:pStyle w:val="ConsPlusNormal"/>
        <w:ind w:left="4956" w:hanging="0"/>
        <w:jc w:val="center"/>
        <w:rPr>
          <w:rFonts w:ascii="Times New Roman" w:hAnsi="Times New Roman"/>
        </w:rPr>
      </w:pPr>
      <w:r>
        <w:rPr/>
      </w:r>
    </w:p>
    <w:p>
      <w:pPr>
        <w:pStyle w:val="ConsPlusNormal"/>
        <w:ind w:left="4956" w:hanging="0"/>
        <w:jc w:val="center"/>
        <w:rPr>
          <w:rFonts w:ascii="Times New Roman" w:hAnsi="Times New Roman"/>
        </w:rPr>
      </w:pPr>
      <w:r>
        <w:rPr/>
      </w:r>
    </w:p>
    <w:p>
      <w:pPr>
        <w:pStyle w:val="ConsPlusNormal"/>
        <w:ind w:left="4956" w:hanging="0"/>
        <w:jc w:val="center"/>
        <w:rPr>
          <w:rFonts w:ascii="Times New Roman" w:hAnsi="Times New Roman"/>
        </w:rPr>
      </w:pPr>
      <w:r>
        <w:rPr/>
      </w:r>
    </w:p>
    <w:p>
      <w:pPr>
        <w:pStyle w:val="ConsPlusNormal"/>
        <w:ind w:left="4956" w:hanging="0"/>
        <w:jc w:val="center"/>
        <w:rPr>
          <w:rFonts w:ascii="Times New Roman" w:hAnsi="Times New Roman"/>
        </w:rPr>
      </w:pPr>
      <w:r>
        <w:rPr/>
      </w:r>
    </w:p>
    <w:p>
      <w:pPr>
        <w:pStyle w:val="ConsPlusNormal"/>
        <w:ind w:left="4956" w:hanging="0"/>
        <w:jc w:val="center"/>
        <w:rPr>
          <w:rFonts w:ascii="Times New Roman" w:hAnsi="Times New Roman"/>
        </w:rPr>
      </w:pPr>
      <w:r>
        <w:rPr/>
      </w:r>
    </w:p>
    <w:p>
      <w:pPr>
        <w:pStyle w:val="ConsPlusNormal"/>
        <w:ind w:left="4956" w:hanging="0"/>
        <w:jc w:val="center"/>
        <w:rPr>
          <w:rFonts w:ascii="Times New Roman" w:hAnsi="Times New Roman"/>
        </w:rPr>
      </w:pPr>
      <w:r>
        <w:rPr/>
      </w:r>
    </w:p>
    <w:p>
      <w:pPr>
        <w:pStyle w:val="ConsPlusNormal"/>
        <w:ind w:left="4956" w:hanging="0"/>
        <w:jc w:val="center"/>
        <w:rPr>
          <w:rFonts w:ascii="Times New Roman" w:hAnsi="Times New Roman"/>
        </w:rPr>
      </w:pPr>
      <w:r>
        <w:rPr/>
      </w:r>
    </w:p>
    <w:p>
      <w:pPr>
        <w:pStyle w:val="ConsPlusNormal"/>
        <w:ind w:left="4956" w:hanging="0"/>
        <w:jc w:val="center"/>
        <w:rPr>
          <w:rFonts w:ascii="Times New Roman" w:hAnsi="Times New Roman"/>
        </w:rPr>
      </w:pPr>
      <w:r>
        <w:rPr/>
      </w:r>
    </w:p>
    <w:p>
      <w:pPr>
        <w:pStyle w:val="ConsPlusNormal"/>
        <w:ind w:hanging="0"/>
        <w:jc w:val="center"/>
        <w:rPr/>
      </w:pPr>
      <w:r>
        <w:rPr/>
      </w:r>
    </w:p>
    <w:sectPr>
      <w:headerReference w:type="default" r:id="rId5"/>
      <w:type w:val="nextPage"/>
      <w:pgSz w:w="11906" w:h="16838"/>
      <w:pgMar w:left="1418" w:right="560" w:header="567" w:top="851" w:footer="0" w:bottom="851" w:gutter="0"/>
      <w:pgNumType w:fmt="decimal"/>
      <w:formProt w:val="false"/>
      <w:titlePg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mbria">
    <w:charset w:val="cc"/>
    <w:family w:val="roman"/>
    <w:pitch w:val="variable"/>
  </w:font>
  <w:font w:name="Times New Roman">
    <w:charset w:val="cc"/>
    <w:family w:val="roman"/>
    <w:pitch w:val="variable"/>
  </w:font>
  <w:font w:name="Lucida Grande CY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Calibri">
    <w:charset w:val="cc"/>
    <w:family w:val="roman"/>
    <w:pitch w:val="variable"/>
  </w:font>
  <w:font w:name="Arial">
    <w:charset w:val="cc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3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2"/>
      <w:numFmt w:val="decimal"/>
      <w:lvlText w:val="%1."/>
      <w:lvlJc w:val="left"/>
      <w:pPr>
        <w:tabs>
          <w:tab w:val="num" w:pos="0"/>
        </w:tabs>
        <w:ind w:left="360" w:hanging="360"/>
      </w:pPr>
      <w:rPr>
        <w:b w:val="false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718" w:hanging="360"/>
      </w:pPr>
      <w:rPr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3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5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7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59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1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3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5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78" w:hanging="180"/>
      </w:p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sz w:val="26"/>
        <w:b w:val="false"/>
        <w:szCs w:val="26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0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6">
    <w:lvl w:ilvl="0">
      <w:start w:val="1"/>
      <w:numFmt w:val="decimal"/>
      <w:lvlText w:val="%1."/>
      <w:lvlJc w:val="left"/>
      <w:pPr>
        <w:tabs>
          <w:tab w:val="num" w:pos="0"/>
        </w:tabs>
        <w:ind w:left="718" w:hanging="360"/>
      </w:pPr>
      <w:rPr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3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5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7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59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1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3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5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78" w:hanging="180"/>
      </w:pPr>
    </w:lvl>
  </w:abstractNum>
  <w:abstractNum w:abstractNumId="7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sz w:val="26"/>
        <w:b w:val="false"/>
        <w:szCs w:val="26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0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6"/>
    <w:lvlOverride w:ilvl="0">
      <w:startOverride w:val="1"/>
    </w:lvlOverride>
  </w:num>
  <w:num w:numId="11">
    <w:abstractNumId w:val="6"/>
  </w:num>
  <w:num w:numId="12">
    <w:abstractNumId w:val="6"/>
  </w:num>
  <w:num w:numId="13">
    <w:abstractNumId w:val="6"/>
  </w:num>
  <w:num w:numId="14">
    <w:abstractNumId w:val="6"/>
  </w:num>
  <w:num w:numId="15">
    <w:abstractNumId w:val="6"/>
  </w:num>
  <w:num w:numId="16">
    <w:abstractNumId w:val="6"/>
  </w:num>
  <w:num w:numId="17">
    <w:abstractNumId w:val="6"/>
  </w:num>
  <w:num w:numId="18">
    <w:abstractNumId w:val="6"/>
  </w:num>
  <w:num w:numId="19">
    <w:abstractNumId w:val="6"/>
  </w:num>
  <w:num w:numId="20">
    <w:abstractNumId w:val="6"/>
  </w:num>
  <w:num w:numId="21">
    <w:abstractNumId w:val="6"/>
  </w:num>
  <w:num w:numId="22">
    <w:abstractNumId w:val="6"/>
  </w:num>
  <w:num w:numId="23">
    <w:abstractNumId w:val="6"/>
  </w:num>
  <w:num w:numId="24">
    <w:abstractNumId w:val="6"/>
  </w:num>
  <w:num w:numId="25">
    <w:abstractNumId w:val="6"/>
  </w:num>
  <w:num w:numId="26">
    <w:abstractNumId w:val="6"/>
  </w:num>
  <w:num w:numId="27">
    <w:abstractNumId w:val="6"/>
  </w:num>
  <w:num w:numId="28">
    <w:abstractNumId w:val="6"/>
  </w:num>
  <w:num w:numId="29">
    <w:abstractNumId w:val="6"/>
  </w:num>
  <w:num w:numId="30">
    <w:abstractNumId w:val="6"/>
  </w:num>
  <w:num w:numId="31">
    <w:abstractNumId w:val="6"/>
  </w:num>
  <w:num w:numId="32">
    <w:abstractNumId w:val="6"/>
  </w:num>
  <w:num w:numId="33">
    <w:abstractNumId w:val="6"/>
  </w:num>
  <w:num w:numId="34">
    <w:abstractNumId w:val="6"/>
  </w:num>
  <w:num w:numId="35">
    <w:abstractNumId w:val="6"/>
  </w:num>
  <w:num w:numId="36">
    <w:abstractNumId w:val="6"/>
  </w:num>
  <w:num w:numId="37">
    <w:abstractNumId w:val="6"/>
  </w:num>
  <w:num w:numId="38">
    <w:abstractNumId w:val="6"/>
  </w:num>
  <w:num w:numId="39">
    <w:abstractNumId w:val="6"/>
  </w:num>
  <w:num w:numId="40">
    <w:abstractNumId w:val="6"/>
  </w:num>
  <w:num w:numId="41">
    <w:abstractNumId w:val="6"/>
  </w:num>
  <w:num w:numId="42">
    <w:abstractNumId w:val="6"/>
  </w:num>
  <w:num w:numId="43">
    <w:abstractNumId w:val="6"/>
  </w:num>
  <w:num w:numId="44">
    <w:abstractNumId w:val="6"/>
  </w:num>
  <w:num w:numId="45">
    <w:abstractNumId w:val="6"/>
  </w:num>
  <w:num w:numId="46">
    <w:abstractNumId w:val="7"/>
    <w:lvlOverride w:ilvl="0">
      <w:startOverride w:val="1"/>
    </w:lvlOverride>
  </w:num>
  <w:num w:numId="47">
    <w:abstractNumId w:val="7"/>
  </w:num>
  <w:num w:numId="48">
    <w:abstractNumId w:val="7"/>
  </w:num>
  <w:num w:numId="49">
    <w:abstractNumId w:val="7"/>
  </w:num>
  <w:num w:numId="50">
    <w:abstractNumId w:val="7"/>
  </w:num>
  <w:num w:numId="51">
    <w:abstractNumId w:val="7"/>
  </w:num>
  <w:num w:numId="52">
    <w:abstractNumId w:val="7"/>
  </w:num>
  <w:num w:numId="53">
    <w:abstractNumId w:val="7"/>
  </w:num>
  <w:num w:numId="54">
    <w:abstractNumId w:val="7"/>
  </w:num>
  <w:num w:numId="55">
    <w:abstractNumId w:val="8"/>
    <w:lvlOverride w:ilvl="0">
      <w:startOverride w:val="1"/>
    </w:lvlOverride>
  </w:num>
  <w:num w:numId="56">
    <w:abstractNumId w:val="8"/>
  </w:num>
  <w:num w:numId="57">
    <w:abstractNumId w:val="8"/>
  </w:num>
  <w:num w:numId="58">
    <w:abstractNumId w:val="8"/>
  </w:num>
  <w:num w:numId="59">
    <w:abstractNumId w:val="8"/>
  </w:num>
  <w:num w:numId="60">
    <w:abstractNumId w:val="8"/>
  </w:num>
  <w:num w:numId="61">
    <w:abstractNumId w:val="8"/>
  </w:num>
  <w:num w:numId="62">
    <w:abstractNumId w:val="8"/>
  </w:num>
  <w:num w:numId="63">
    <w:abstractNumId w:val="8"/>
  </w:num>
  <w:num w:numId="64">
    <w:abstractNumId w:val="8"/>
  </w:num>
  <w:num w:numId="65">
    <w:abstractNumId w:val="9"/>
    <w:lvlOverride w:ilvl="0">
      <w:startOverride w:val="1"/>
    </w:lvlOverride>
  </w:num>
  <w:num w:numId="66">
    <w:abstractNumId w:val="9"/>
  </w:num>
  <w:num w:numId="67">
    <w:abstractNumId w:val="9"/>
  </w:num>
  <w:num w:numId="68">
    <w:abstractNumId w:val="9"/>
  </w:num>
  <w:num w:numId="69">
    <w:abstractNumId w:val="9"/>
  </w:num>
  <w:num w:numId="70">
    <w:abstractNumId w:val="9"/>
  </w:num>
</w:numbering>
</file>

<file path=word/settings.xml><?xml version="1.0" encoding="utf-8"?>
<w:settings xmlns:w="http://schemas.openxmlformats.org/wordprocessingml/2006/main">
  <w:zoom w:percent="104"/>
  <w:defaultTabStop w:val="708"/>
  <w:autoHyphenation w:val="true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mbria" w:hAnsi="Cambria" w:eastAsia="MS Mincho" w:cs="Times New Roman"/>
        <w:lang w:val="ru-RU" w:eastAsia="ru-RU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No Spacing" w:semiHidden="0" w:unhideWhenUsed="0" w:qFormat="1"/>
    <w:lsdException w:name="Medium Grid 1" w:unhideWhenUsed="0"/>
    <w:lsdException w:name="Medium Grid 2" w:uiPriority="1" w:semiHidden="0" w:unhideWhenUsed="0" w:qFormat="1"/>
    <w:lsdException w:name="Medium Grid 3" w:uiPriority="60" w:semiHidden="0" w:unhideWhenUsed="0"/>
    <w:lsdException w:name="Dark List" w:uiPriority="61" w:semiHidden="0" w:unhideWhenUsed="0"/>
    <w:lsdException w:name="Colorful Shading" w:uiPriority="62" w:semiHidden="0" w:unhideWhenUsed="0"/>
    <w:lsdException w:name="Colorful List" w:uiPriority="63" w:semiHidden="0" w:unhideWhenUsed="0"/>
    <w:lsdException w:name="Colorful Grid" w:uiPriority="64" w:semiHidden="0" w:unhideWhenUsed="0"/>
    <w:lsdException w:name="Light Shading Accent 1" w:uiPriority="65" w:semiHidden="0" w:unhideWhenUsed="0"/>
    <w:lsdException w:name="Light List Accent 1" w:uiPriority="66" w:semiHidden="0" w:unhideWhenUsed="0"/>
    <w:lsdException w:name="Light Grid Accent 1" w:uiPriority="67" w:semiHidden="0" w:unhideWhenUsed="0"/>
    <w:lsdException w:name="Medium Shading 1 Accent 1" w:uiPriority="68" w:semiHidden="0" w:unhideWhenUsed="0"/>
    <w:lsdException w:name="Medium Shading 2 Accent 1" w:uiPriority="69" w:semiHidden="0" w:unhideWhenUsed="0"/>
    <w:lsdException w:name="Medium List 1 Accent 1" w:uiPriority="70" w:semiHidden="0" w:unhideWhenUsed="0"/>
    <w:lsdException w:name="Revision" w:uiPriority="71" w:semiHidden="0" w:unhideWhenUsed="0"/>
    <w:lsdException w:name="List Paragraph" w:uiPriority="34" w:semiHidden="0" w:unhideWhenUsed="0" w:qFormat="1"/>
    <w:lsdException w:name="Quote" w:uiPriority="73" w:semiHidden="0" w:unhideWhenUsed="0" w:qFormat="1"/>
    <w:lsdException w:name="Intense Quote" w:uiPriority="60" w:semiHidden="0" w:unhideWhenUsed="0" w:qFormat="1"/>
    <w:lsdException w:name="Medium List 2 Accent 1" w:uiPriority="61" w:semiHidden="0" w:unhideWhenUsed="0"/>
    <w:lsdException w:name="Medium Grid 1 Accent 1" w:uiPriority="62" w:semiHidden="0" w:unhideWhenUsed="0"/>
    <w:lsdException w:name="Medium Grid 2 Accent 1" w:uiPriority="63" w:semiHidden="0" w:unhideWhenUsed="0"/>
    <w:lsdException w:name="Medium Grid 3 Accent 1" w:uiPriority="64" w:semiHidden="0" w:unhideWhenUsed="0"/>
    <w:lsdException w:name="Dark List Accent 1" w:uiPriority="65" w:semiHidden="0" w:unhideWhenUsed="0"/>
    <w:lsdException w:name="Colorful Shading Accent 1" w:unhideWhenUsed="0"/>
    <w:lsdException w:name="Colorful List Accent 1" w:uiPriority="34" w:semiHidden="0" w:unhideWhenUsed="0" w:qFormat="1"/>
    <w:lsdException w:name="Colorful Grid Accent 1" w:uiPriority="29" w:semiHidden="0" w:unhideWhenUsed="0" w:qFormat="1"/>
    <w:lsdException w:name="Light Shading Accent 2" w:uiPriority="30" w:semiHidden="0" w:unhideWhenUsed="0" w:qFormat="1"/>
    <w:lsdException w:name="Light List Accent 2" w:uiPriority="66" w:semiHidden="0" w:unhideWhenUsed="0"/>
    <w:lsdException w:name="Light Grid Accent 2" w:uiPriority="67" w:semiHidden="0" w:unhideWhenUsed="0"/>
    <w:lsdException w:name="Medium Shading 1 Accent 2" w:uiPriority="68" w:semiHidden="0" w:unhideWhenUsed="0"/>
    <w:lsdException w:name="Medium Shading 2 Accent 2" w:uiPriority="69" w:semiHidden="0" w:unhideWhenUsed="0"/>
    <w:lsdException w:name="Medium List 1 Accent 2" w:uiPriority="70" w:semiHidden="0" w:unhideWhenUsed="0"/>
    <w:lsdException w:name="Medium List 2 Accent 2" w:uiPriority="71" w:semiHidden="0" w:unhideWhenUsed="0"/>
    <w:lsdException w:name="Medium Grid 1 Accent 2" w:uiPriority="72" w:semiHidden="0" w:unhideWhenUsed="0"/>
    <w:lsdException w:name="Medium Grid 2 Accent 2" w:uiPriority="73" w:semiHidden="0" w:unhideWhenUsed="0"/>
    <w:lsdException w:name="Medium Grid 3 Accent 2" w:uiPriority="60" w:semiHidden="0" w:unhideWhenUsed="0"/>
    <w:lsdException w:name="Dark List Accent 2" w:uiPriority="61" w:semiHidden="0" w:unhideWhenUsed="0"/>
    <w:lsdException w:name="Colorful Shading Accent 2" w:uiPriority="62" w:semiHidden="0" w:unhideWhenUsed="0"/>
    <w:lsdException w:name="Colorful List Accent 2" w:uiPriority="63" w:semiHidden="0" w:unhideWhenUsed="0"/>
    <w:lsdException w:name="Colorful Grid Accent 2" w:uiPriority="64" w:semiHidden="0" w:unhideWhenUsed="0"/>
    <w:lsdException w:name="Light Shading Accent 3" w:uiPriority="65" w:semiHidden="0" w:unhideWhenUsed="0"/>
    <w:lsdException w:name="Light List Accent 3" w:uiPriority="66" w:semiHidden="0" w:unhideWhenUsed="0"/>
    <w:lsdException w:name="Light Grid Accent 3" w:uiPriority="67" w:semiHidden="0" w:unhideWhenUsed="0"/>
    <w:lsdException w:name="Medium Shading 1 Accent 3" w:uiPriority="68" w:semiHidden="0" w:unhideWhenUsed="0"/>
    <w:lsdException w:name="Medium Shading 2 Accent 3" w:uiPriority="69" w:semiHidden="0" w:unhideWhenUsed="0"/>
    <w:lsdException w:name="Medium List 1 Accent 3" w:uiPriority="70" w:semiHidden="0" w:unhideWhenUsed="0"/>
    <w:lsdException w:name="Medium List 2 Accent 3" w:uiPriority="71" w:semiHidden="0" w:unhideWhenUsed="0"/>
    <w:lsdException w:name="Medium Grid 1 Accent 3" w:uiPriority="72" w:semiHidden="0" w:unhideWhenUsed="0"/>
    <w:lsdException w:name="Medium Grid 2 Accent 3" w:uiPriority="73" w:semiHidden="0" w:unhideWhenUsed="0"/>
    <w:lsdException w:name="Medium Grid 3 Accent 3" w:uiPriority="60" w:semiHidden="0" w:unhideWhenUsed="0"/>
    <w:lsdException w:name="Dark List Accent 3" w:uiPriority="61" w:semiHidden="0" w:unhideWhenUsed="0"/>
    <w:lsdException w:name="Colorful Shading Accent 3" w:uiPriority="62" w:semiHidden="0" w:unhideWhenUsed="0"/>
    <w:lsdException w:name="Colorful List Accent 3" w:uiPriority="63" w:semiHidden="0" w:unhideWhenUsed="0"/>
    <w:lsdException w:name="Colorful Grid Accent 3" w:uiPriority="64" w:semiHidden="0" w:unhideWhenUsed="0"/>
    <w:lsdException w:name="Light Shading Accent 4" w:uiPriority="65" w:semiHidden="0" w:unhideWhenUsed="0"/>
    <w:lsdException w:name="Light List Accent 4" w:uiPriority="66" w:semiHidden="0" w:unhideWhenUsed="0"/>
    <w:lsdException w:name="Light Grid Accent 4" w:uiPriority="67" w:semiHidden="0" w:unhideWhenUsed="0"/>
    <w:lsdException w:name="Medium Shading 1 Accent 4" w:uiPriority="68" w:semiHidden="0" w:unhideWhenUsed="0"/>
    <w:lsdException w:name="Medium Shading 2 Accent 4" w:uiPriority="69" w:semiHidden="0" w:unhideWhenUsed="0"/>
    <w:lsdException w:name="Medium List 1 Accent 4" w:uiPriority="70" w:semiHidden="0" w:unhideWhenUsed="0"/>
    <w:lsdException w:name="Medium List 2 Accent 4" w:uiPriority="71" w:semiHidden="0" w:unhideWhenUsed="0"/>
    <w:lsdException w:name="Medium Grid 1 Accent 4" w:uiPriority="72" w:semiHidden="0" w:unhideWhenUsed="0"/>
    <w:lsdException w:name="Medium Grid 2 Accent 4" w:uiPriority="73" w:semiHidden="0" w:unhideWhenUsed="0"/>
    <w:lsdException w:name="Medium Grid 3 Accent 4" w:uiPriority="60" w:semiHidden="0" w:unhideWhenUsed="0"/>
    <w:lsdException w:name="Dark List Accent 4" w:uiPriority="61" w:semiHidden="0" w:unhideWhenUsed="0"/>
    <w:lsdException w:name="Colorful Shading Accent 4" w:uiPriority="62" w:semiHidden="0" w:unhideWhenUsed="0"/>
    <w:lsdException w:name="Colorful List Accent 4" w:uiPriority="63" w:semiHidden="0" w:unhideWhenUsed="0"/>
    <w:lsdException w:name="Colorful Grid Accent 4" w:uiPriority="64" w:semiHidden="0" w:unhideWhenUsed="0"/>
    <w:lsdException w:name="Light Shading Accent 5" w:uiPriority="65" w:semiHidden="0" w:unhideWhenUsed="0"/>
    <w:lsdException w:name="Light List Accent 5" w:uiPriority="66" w:semiHidden="0" w:unhideWhenUsed="0"/>
    <w:lsdException w:name="Light Grid Accent 5" w:uiPriority="67" w:semiHidden="0" w:unhideWhenUsed="0"/>
    <w:lsdException w:name="Medium Shading 1 Accent 5" w:uiPriority="68" w:semiHidden="0" w:unhideWhenUsed="0"/>
    <w:lsdException w:name="Medium Shading 2 Accent 5" w:uiPriority="69" w:semiHidden="0" w:unhideWhenUsed="0"/>
    <w:lsdException w:name="Medium List 1 Accent 5" w:uiPriority="70" w:semiHidden="0" w:unhideWhenUsed="0"/>
    <w:lsdException w:name="Medium List 2 Accent 5" w:uiPriority="71" w:semiHidden="0" w:unhideWhenUsed="0"/>
    <w:lsdException w:name="Medium Grid 1 Accent 5" w:uiPriority="72" w:semiHidden="0" w:unhideWhenUsed="0"/>
    <w:lsdException w:name="Medium Grid 2 Accent 5" w:uiPriority="73" w:semiHidden="0" w:unhideWhenUsed="0"/>
    <w:lsdException w:name="Medium Grid 3 Accent 5" w:uiPriority="60" w:semiHidden="0" w:unhideWhenUsed="0"/>
    <w:lsdException w:name="Dark List Accent 5" w:uiPriority="61" w:semiHidden="0" w:unhideWhenUsed="0"/>
    <w:lsdException w:name="Colorful Shading Accent 5" w:uiPriority="62" w:semiHidden="0" w:unhideWhenUsed="0"/>
    <w:lsdException w:name="Colorful List Accent 5" w:uiPriority="63" w:semiHidden="0" w:unhideWhenUsed="0"/>
    <w:lsdException w:name="Colorful Grid Accent 5" w:uiPriority="64" w:semiHidden="0" w:unhideWhenUsed="0"/>
    <w:lsdException w:name="Light Shading Accent 6" w:uiPriority="65" w:semiHidden="0" w:unhideWhenUsed="0"/>
    <w:lsdException w:name="Light List Accent 6" w:uiPriority="66" w:semiHidden="0" w:unhideWhenUsed="0"/>
    <w:lsdException w:name="Light Grid Accent 6" w:uiPriority="67" w:semiHidden="0" w:unhideWhenUsed="0"/>
    <w:lsdException w:name="Medium Shading 1 Accent 6" w:uiPriority="68" w:semiHidden="0" w:unhideWhenUsed="0"/>
    <w:lsdException w:name="Medium Shading 2 Accent 6" w:uiPriority="69" w:semiHidden="0" w:unhideWhenUsed="0"/>
    <w:lsdException w:name="Medium List 1 Accent 6" w:uiPriority="70" w:semiHidden="0" w:unhideWhenUsed="0"/>
    <w:lsdException w:name="Medium List 2 Accent 6" w:uiPriority="71" w:semiHidden="0" w:unhideWhenUsed="0"/>
    <w:lsdException w:name="Medium Grid 1 Accent 6" w:uiPriority="72" w:semiHidden="0" w:unhideWhenUsed="0"/>
    <w:lsdException w:name="Medium Grid 2 Accent 6" w:uiPriority="73" w:semiHidden="0" w:unhideWhenUsed="0"/>
    <w:lsdException w:name="Medium Grid 3 Accent 6" w:uiPriority="60" w:semiHidden="0" w:unhideWhenUsed="0"/>
    <w:lsdException w:name="Dark List Accent 6" w:uiPriority="61" w:semiHidden="0" w:unhideWhenUsed="0"/>
    <w:lsdException w:name="Colorful Shading Accent 6" w:uiPriority="62" w:semiHidden="0" w:unhideWhenUsed="0"/>
    <w:lsdException w:name="Colorful List Accent 6" w:uiPriority="63" w:semiHidden="0" w:unhideWhenUsed="0"/>
    <w:lsdException w:name="Colorful Grid Accent 6" w:uiPriority="64" w:semiHidden="0" w:unhideWhenUsed="0"/>
    <w:lsdException w:name="Subtle Emphasis" w:uiPriority="65" w:semiHidden="0" w:unhideWhenUsed="0" w:qFormat="1"/>
    <w:lsdException w:name="Intense Emphasis" w:uiPriority="66" w:semiHidden="0" w:unhideWhenUsed="0" w:qFormat="1"/>
    <w:lsdException w:name="Subtle Reference" w:uiPriority="67" w:semiHidden="0" w:unhideWhenUsed="0" w:qFormat="1"/>
    <w:lsdException w:name="Intense Reference" w:uiPriority="68" w:semiHidden="0" w:unhideWhenUsed="0" w:qFormat="1"/>
    <w:lsdException w:name="Book Title" w:uiPriority="69" w:semiHidden="0" w:unhideWhenUsed="0" w:qFormat="1"/>
    <w:lsdException w:name="Bibliography" w:uiPriority="70" w:semiHidden="0" w:unhideWhenUsed="0"/>
    <w:lsdException w:name="TOC Heading" w:uiPriority="71" w:qFormat="1"/>
  </w:latentStyles>
  <w:style w:type="paragraph" w:styleId="Normal" w:default="1">
    <w:name w:val="Normal"/>
    <w:qFormat/>
    <w:rsid w:val="006351b8"/>
    <w:pPr>
      <w:widowControl/>
      <w:suppressAutoHyphens w:val="true"/>
      <w:bidi w:val="0"/>
      <w:spacing w:before="0" w:after="0"/>
      <w:jc w:val="left"/>
    </w:pPr>
    <w:rPr>
      <w:rFonts w:ascii="Cambria" w:hAnsi="Cambria" w:eastAsia="MS Mincho" w:cs="Times New Roman"/>
      <w:color w:val="auto"/>
      <w:kern w:val="0"/>
      <w:sz w:val="24"/>
      <w:szCs w:val="24"/>
      <w:lang w:val="ru-RU" w:eastAsia="ru-RU" w:bidi="ar-SA"/>
    </w:rPr>
  </w:style>
  <w:style w:type="paragraph" w:styleId="2">
    <w:name w:val="Heading 2"/>
    <w:basedOn w:val="Normal"/>
    <w:next w:val="Normal"/>
    <w:link w:val="20"/>
    <w:qFormat/>
    <w:rsid w:val="002458df"/>
    <w:pPr>
      <w:keepNext w:val="true"/>
      <w:numPr>
        <w:ilvl w:val="0"/>
        <w:numId w:val="1"/>
      </w:numPr>
      <w:spacing w:before="240" w:after="60"/>
      <w:jc w:val="center"/>
      <w:outlineLvl w:val="0"/>
    </w:pPr>
    <w:rPr>
      <w:rFonts w:ascii="Times New Roman" w:hAnsi="Times New Roman" w:eastAsia="Times New Roman"/>
      <w:bCs/>
      <w:iCs/>
      <w:caps/>
      <w:szCs w:val="28"/>
      <w:lang w:val="en-US" w:eastAsia="en-US"/>
    </w:rPr>
  </w:style>
  <w:style w:type="character" w:styleId="DefaultParagraphFont" w:default="1">
    <w:name w:val="Default Paragraph Font"/>
    <w:uiPriority w:val="1"/>
    <w:unhideWhenUsed/>
    <w:qFormat/>
    <w:rPr/>
  </w:style>
  <w:style w:type="character" w:styleId="Style13" w:customStyle="1">
    <w:name w:val="Текст сноски Знак"/>
    <w:link w:val="a3"/>
    <w:uiPriority w:val="99"/>
    <w:qFormat/>
    <w:rsid w:val="005a74df"/>
    <w:rPr>
      <w:sz w:val="24"/>
      <w:szCs w:val="24"/>
    </w:rPr>
  </w:style>
  <w:style w:type="character" w:styleId="Style14">
    <w:name w:val="Привязка сноски"/>
    <w:rPr>
      <w:vertAlign w:val="superscript"/>
    </w:rPr>
  </w:style>
  <w:style w:type="character" w:styleId="FootnoteCharacters">
    <w:name w:val="Footnote Characters"/>
    <w:uiPriority w:val="99"/>
    <w:unhideWhenUsed/>
    <w:qFormat/>
    <w:rsid w:val="005a74df"/>
    <w:rPr>
      <w:vertAlign w:val="superscript"/>
    </w:rPr>
  </w:style>
  <w:style w:type="character" w:styleId="Style15" w:customStyle="1">
    <w:name w:val="Верхний колонтитул Знак"/>
    <w:link w:val="a6"/>
    <w:uiPriority w:val="99"/>
    <w:qFormat/>
    <w:rsid w:val="007a342d"/>
    <w:rPr>
      <w:sz w:val="24"/>
      <w:szCs w:val="24"/>
    </w:rPr>
  </w:style>
  <w:style w:type="character" w:styleId="Pagenumber">
    <w:name w:val="page number"/>
    <w:uiPriority w:val="99"/>
    <w:unhideWhenUsed/>
    <w:qFormat/>
    <w:rsid w:val="007a342d"/>
    <w:rPr/>
  </w:style>
  <w:style w:type="character" w:styleId="Style16" w:customStyle="1">
    <w:name w:val="Нижний колонтитул Знак"/>
    <w:link w:val="a9"/>
    <w:uiPriority w:val="99"/>
    <w:qFormat/>
    <w:rsid w:val="00ec0f77"/>
    <w:rPr>
      <w:sz w:val="24"/>
      <w:szCs w:val="24"/>
    </w:rPr>
  </w:style>
  <w:style w:type="character" w:styleId="Style17" w:customStyle="1">
    <w:name w:val="Схема документа Знак"/>
    <w:link w:val="ab"/>
    <w:uiPriority w:val="99"/>
    <w:semiHidden/>
    <w:qFormat/>
    <w:rsid w:val="006b3d34"/>
    <w:rPr>
      <w:rFonts w:ascii="Lucida Grande CY" w:hAnsi="Lucida Grande CY" w:cs="Lucida Grande CY"/>
      <w:sz w:val="24"/>
      <w:szCs w:val="24"/>
    </w:rPr>
  </w:style>
  <w:style w:type="character" w:styleId="Annotationreference">
    <w:name w:val="annotation reference"/>
    <w:uiPriority w:val="99"/>
    <w:semiHidden/>
    <w:unhideWhenUsed/>
    <w:qFormat/>
    <w:rsid w:val="00887bbd"/>
    <w:rPr>
      <w:sz w:val="16"/>
      <w:szCs w:val="16"/>
    </w:rPr>
  </w:style>
  <w:style w:type="character" w:styleId="Style18" w:customStyle="1">
    <w:name w:val="Текст примечания Знак"/>
    <w:link w:val="ae"/>
    <w:uiPriority w:val="99"/>
    <w:semiHidden/>
    <w:qFormat/>
    <w:rsid w:val="00e6154f"/>
    <w:rPr>
      <w:sz w:val="24"/>
      <w:szCs w:val="24"/>
    </w:rPr>
  </w:style>
  <w:style w:type="character" w:styleId="Style19" w:customStyle="1">
    <w:name w:val="Тема примечания Знак"/>
    <w:link w:val="af0"/>
    <w:uiPriority w:val="99"/>
    <w:semiHidden/>
    <w:qFormat/>
    <w:rsid w:val="00e6154f"/>
    <w:rPr>
      <w:b/>
      <w:bCs/>
      <w:sz w:val="24"/>
      <w:szCs w:val="24"/>
    </w:rPr>
  </w:style>
  <w:style w:type="character" w:styleId="Style20" w:customStyle="1">
    <w:name w:val="Текст выноски Знак"/>
    <w:link w:val="af2"/>
    <w:uiPriority w:val="99"/>
    <w:semiHidden/>
    <w:qFormat/>
    <w:rsid w:val="00e6154f"/>
    <w:rPr>
      <w:rFonts w:ascii="Lucida Grande CY" w:hAnsi="Lucida Grande CY" w:cs="Lucida Grande CY"/>
      <w:sz w:val="18"/>
      <w:szCs w:val="18"/>
    </w:rPr>
  </w:style>
  <w:style w:type="character" w:styleId="21" w:customStyle="1">
    <w:name w:val="Заголовок 2 Знак"/>
    <w:link w:val="2"/>
    <w:qFormat/>
    <w:rsid w:val="002458df"/>
    <w:rPr>
      <w:rFonts w:ascii="Times New Roman" w:hAnsi="Times New Roman" w:eastAsia="Times New Roman"/>
      <w:bCs/>
      <w:iCs/>
      <w:caps/>
      <w:sz w:val="24"/>
      <w:szCs w:val="28"/>
      <w:lang w:val="en-US" w:eastAsia="en-US"/>
    </w:rPr>
  </w:style>
  <w:style w:type="character" w:styleId="Style21">
    <w:name w:val="Интернет-ссылка"/>
    <w:uiPriority w:val="99"/>
    <w:unhideWhenUsed/>
    <w:rsid w:val="00303661"/>
    <w:rPr>
      <w:color w:val="0000FF"/>
      <w:u w:val="single"/>
    </w:rPr>
  </w:style>
  <w:style w:type="character" w:styleId="Style22">
    <w:name w:val="Посещённая гиперссылка"/>
    <w:basedOn w:val="DefaultParagraphFont"/>
    <w:uiPriority w:val="99"/>
    <w:semiHidden/>
    <w:unhideWhenUsed/>
    <w:rsid w:val="00145d7c"/>
    <w:rPr>
      <w:color w:val="800080" w:themeColor="followedHyperlink"/>
      <w:u w:val="single"/>
    </w:rPr>
  </w:style>
  <w:style w:type="paragraph" w:styleId="Style23">
    <w:name w:val="Заголовок"/>
    <w:basedOn w:val="Normal"/>
    <w:next w:val="Style24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24">
    <w:name w:val="Body Text"/>
    <w:basedOn w:val="Normal"/>
    <w:pPr>
      <w:spacing w:lineRule="auto" w:line="276" w:before="0" w:after="140"/>
    </w:pPr>
    <w:rPr/>
  </w:style>
  <w:style w:type="paragraph" w:styleId="Style25">
    <w:name w:val="List"/>
    <w:basedOn w:val="Style24"/>
    <w:pPr/>
    <w:rPr>
      <w:rFonts w:cs="Arial"/>
    </w:rPr>
  </w:style>
  <w:style w:type="paragraph" w:styleId="Style26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27">
    <w:name w:val="Указатель"/>
    <w:basedOn w:val="Normal"/>
    <w:qFormat/>
    <w:pPr>
      <w:suppressLineNumbers/>
    </w:pPr>
    <w:rPr>
      <w:rFonts w:cs="Arial"/>
    </w:rPr>
  </w:style>
  <w:style w:type="paragraph" w:styleId="Style28">
    <w:name w:val="Footnote Text"/>
    <w:basedOn w:val="Normal"/>
    <w:link w:val="a4"/>
    <w:uiPriority w:val="99"/>
    <w:unhideWhenUsed/>
    <w:rsid w:val="005a74df"/>
    <w:pPr/>
    <w:rPr/>
  </w:style>
  <w:style w:type="paragraph" w:styleId="Style29">
    <w:name w:val="Верхний и нижний колонтитулы"/>
    <w:basedOn w:val="Normal"/>
    <w:qFormat/>
    <w:pPr/>
    <w:rPr/>
  </w:style>
  <w:style w:type="paragraph" w:styleId="Style30">
    <w:name w:val="Header"/>
    <w:basedOn w:val="Normal"/>
    <w:link w:val="a7"/>
    <w:uiPriority w:val="99"/>
    <w:unhideWhenUsed/>
    <w:rsid w:val="007a342d"/>
    <w:pPr>
      <w:tabs>
        <w:tab w:val="clear" w:pos="708"/>
        <w:tab w:val="center" w:pos="4677" w:leader="none"/>
        <w:tab w:val="right" w:pos="9355" w:leader="none"/>
      </w:tabs>
    </w:pPr>
    <w:rPr/>
  </w:style>
  <w:style w:type="paragraph" w:styleId="Style31">
    <w:name w:val="Footer"/>
    <w:basedOn w:val="Normal"/>
    <w:link w:val="aa"/>
    <w:uiPriority w:val="99"/>
    <w:unhideWhenUsed/>
    <w:rsid w:val="00ec0f77"/>
    <w:pPr>
      <w:tabs>
        <w:tab w:val="clear" w:pos="708"/>
        <w:tab w:val="center" w:pos="4677" w:leader="none"/>
        <w:tab w:val="right" w:pos="9355" w:leader="none"/>
      </w:tabs>
    </w:pPr>
    <w:rPr/>
  </w:style>
  <w:style w:type="paragraph" w:styleId="DocumentMap">
    <w:name w:val="Document Map"/>
    <w:basedOn w:val="Normal"/>
    <w:link w:val="ac"/>
    <w:uiPriority w:val="99"/>
    <w:semiHidden/>
    <w:unhideWhenUsed/>
    <w:qFormat/>
    <w:rsid w:val="006b3d34"/>
    <w:pPr/>
    <w:rPr>
      <w:rFonts w:ascii="Lucida Grande CY" w:hAnsi="Lucida Grande CY" w:cs="Lucida Grande CY"/>
    </w:rPr>
  </w:style>
  <w:style w:type="paragraph" w:styleId="Annotationtext">
    <w:name w:val="annotation text"/>
    <w:basedOn w:val="Normal"/>
    <w:link w:val="af"/>
    <w:uiPriority w:val="99"/>
    <w:semiHidden/>
    <w:unhideWhenUsed/>
    <w:qFormat/>
    <w:rsid w:val="00e6154f"/>
    <w:pPr/>
    <w:rPr/>
  </w:style>
  <w:style w:type="paragraph" w:styleId="Annotationsubject">
    <w:name w:val="annotation subject"/>
    <w:basedOn w:val="Annotationtext"/>
    <w:next w:val="Annotationtext"/>
    <w:link w:val="af1"/>
    <w:uiPriority w:val="99"/>
    <w:semiHidden/>
    <w:unhideWhenUsed/>
    <w:qFormat/>
    <w:rsid w:val="00e6154f"/>
    <w:pPr/>
    <w:rPr>
      <w:b/>
      <w:bCs/>
      <w:sz w:val="20"/>
      <w:szCs w:val="20"/>
    </w:rPr>
  </w:style>
  <w:style w:type="paragraph" w:styleId="BalloonText">
    <w:name w:val="Balloon Text"/>
    <w:basedOn w:val="Normal"/>
    <w:link w:val="af3"/>
    <w:uiPriority w:val="99"/>
    <w:semiHidden/>
    <w:unhideWhenUsed/>
    <w:qFormat/>
    <w:rsid w:val="00e6154f"/>
    <w:pPr/>
    <w:rPr>
      <w:rFonts w:ascii="Lucida Grande CY" w:hAnsi="Lucida Grande CY" w:cs="Lucida Grande CY"/>
      <w:sz w:val="18"/>
      <w:szCs w:val="18"/>
    </w:rPr>
  </w:style>
  <w:style w:type="paragraph" w:styleId="ListParagraph">
    <w:name w:val="List Paragraph"/>
    <w:basedOn w:val="Normal"/>
    <w:uiPriority w:val="34"/>
    <w:qFormat/>
    <w:rsid w:val="006000ac"/>
    <w:pPr>
      <w:spacing w:before="0" w:after="0"/>
      <w:ind w:left="720" w:firstLine="709"/>
      <w:contextualSpacing/>
      <w:jc w:val="both"/>
    </w:pPr>
    <w:rPr>
      <w:rFonts w:ascii="Calibri" w:hAnsi="Calibri" w:eastAsia="Calibri"/>
      <w:sz w:val="22"/>
      <w:szCs w:val="22"/>
      <w:lang w:eastAsia="en-US"/>
    </w:rPr>
  </w:style>
  <w:style w:type="paragraph" w:styleId="Msonormal" w:customStyle="1">
    <w:name w:val="msonormal"/>
    <w:basedOn w:val="Normal"/>
    <w:qFormat/>
    <w:rsid w:val="006534b7"/>
    <w:pPr>
      <w:spacing w:beforeAutospacing="1" w:afterAutospacing="1"/>
    </w:pPr>
    <w:rPr>
      <w:rFonts w:ascii="Times New Roman" w:hAnsi="Times New Roman" w:eastAsia="Times New Roman"/>
    </w:rPr>
  </w:style>
  <w:style w:type="paragraph" w:styleId="ConsPlusTitle" w:customStyle="1">
    <w:name w:val="ConsPlusTitle"/>
    <w:qFormat/>
    <w:rsid w:val="006534b7"/>
    <w:pPr>
      <w:widowControl w:val="false"/>
      <w:suppressAutoHyphens w:val="true"/>
      <w:bidi w:val="0"/>
      <w:spacing w:before="0" w:after="0"/>
      <w:jc w:val="left"/>
    </w:pPr>
    <w:rPr>
      <w:rFonts w:ascii="Arial" w:hAnsi="Arial" w:eastAsia="Calibri" w:cs="Arial"/>
      <w:b/>
      <w:bCs/>
      <w:color w:val="auto"/>
      <w:kern w:val="0"/>
      <w:sz w:val="20"/>
      <w:szCs w:val="20"/>
      <w:lang w:val="ru-RU" w:eastAsia="zh-CN" w:bidi="ar-SA"/>
    </w:rPr>
  </w:style>
  <w:style w:type="paragraph" w:styleId="Style32">
    <w:name w:val="Содержимое врезки"/>
    <w:basedOn w:val="Normal"/>
    <w:qFormat/>
    <w:pPr/>
    <w:rPr/>
  </w:style>
  <w:style w:type="paragraph" w:styleId="NormalWeb">
    <w:name w:val="Normal (Web)"/>
    <w:basedOn w:val="Normal"/>
    <w:qFormat/>
    <w:pPr>
      <w:widowControl/>
      <w:suppressAutoHyphens w:val="false"/>
      <w:spacing w:beforeAutospacing="1" w:after="119"/>
    </w:pPr>
    <w:rPr>
      <w:rFonts w:ascii="Times New Roman" w:hAnsi="Times New Roman" w:eastAsia="Times New Roman"/>
    </w:rPr>
  </w:style>
  <w:style w:type="paragraph" w:styleId="ConsPlusNormal">
    <w:name w:val="ConsPlusNormal"/>
    <w:qFormat/>
    <w:pPr>
      <w:widowControl w:val="false"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0"/>
      <w:lang w:val="ru-RU" w:eastAsia="ru-RU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af4">
    <w:name w:val="Table Grid"/>
    <w:basedOn w:val="a1"/>
    <w:uiPriority w:val="59"/>
    <w:rsid w:val="008a01f8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image" Target="media/image2.jpeg"/><Relationship Id="rId4" Type="http://schemas.openxmlformats.org/officeDocument/2006/relationships/image" Target="media/image3.jpeg"/><Relationship Id="rId5" Type="http://schemas.openxmlformats.org/officeDocument/2006/relationships/header" Target="header1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Application>LibreOffice/7.0.4.2$Windows_X86_64 LibreOffice_project/dcf040e67528d9187c66b2379df5ea4407429775</Application>
  <AppVersion>15.0000</AppVersion>
  <Pages>18</Pages>
  <Words>3043</Words>
  <Characters>21071</Characters>
  <CharactersWithSpaces>23848</CharactersWithSpaces>
  <Paragraphs>663</Paragraphs>
  <Company>*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2020-12-08T11:51:00Z</dcterms:created>
  <dc:creator>Игорь Лопатин</dc:creator>
  <dc:description/>
  <dc:language>ru-RU</dc:language>
  <cp:lastModifiedBy/>
  <cp:lastPrinted>2020-10-09T07:59:00Z</cp:lastPrinted>
  <dcterms:modified xsi:type="dcterms:W3CDTF">2021-01-26T15:30:50Z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